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40" w:after="680"/>
        <w:rPr/>
      </w:pPr>
      <w:r>
        <w:rPr>
          <w:rFonts w:eastAsia="Arial Unicode MS" w:cs="Arial"/>
          <w:b/>
          <w:color w:val="000000"/>
          <w:sz w:val="19"/>
        </w:rPr>
        <w:t>MANTHINK  /  INDUSTRIAL IoT</w:t>
      </w:r>
    </w:p>
    <w:p>
      <w:pPr>
        <w:pStyle w:val="Title"/>
        <w:spacing w:before="0" w:after="40"/>
        <w:contextualSpacing/>
        <w:rPr/>
      </w:pPr>
      <w:r>
        <w:rPr>
          <w:color w:val="000000"/>
          <w:sz w:val="60"/>
        </w:rPr>
        <w:t>GD62</w:t>
      </w:r>
    </w:p>
    <w:p>
      <w:pPr>
        <w:pStyle w:val="Normal"/>
        <w:spacing w:before="0" w:after="80"/>
        <w:rPr/>
      </w:pPr>
      <w:r>
        <w:rPr>
          <w:color w:val="000000"/>
          <w:sz w:val="40"/>
        </w:rPr>
        <w:t>IP67 Outdoor LoRaWAN Gateway</w:t>
      </w:r>
    </w:p>
    <w:p>
      <w:pPr>
        <w:pStyle w:val="Normal"/>
        <w:spacing w:before="0" w:after="360"/>
        <w:rPr/>
      </w:pPr>
      <w:r>
        <w:rPr>
          <w:color w:val="000000"/>
          <w:sz w:val="28"/>
        </w:rPr>
        <w:t>User Manual</w:t>
      </w:r>
    </w:p>
    <w:p>
      <w:pPr>
        <w:pStyle w:val="Normal"/>
        <w:spacing w:before="0" w:after="320"/>
        <w:jc w:val="center"/>
        <w:rPr/>
      </w:pPr>
      <w:r>
        <w:rPr/>
        <w:drawing>
          <wp:inline distT="0" distB="0" distL="0" distR="0">
            <wp:extent cx="4297680" cy="4297680"/>
            <wp:effectExtent l="0" t="0" r="0" b="0"/>
            <wp:docPr id="1" name="Picture 1" descr="GD62 IP67 Outdoor LoRaWAN Gateway User Manual" title="GD62 IP67 Outdoor LoRaWAN Gateway User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D62 IP67 Outdoor LoRaWAN Gateway User Manual" title="GD62 IP67 Outdoor LoRaWAN Gateway User Manual"/>
                    <pic:cNvPicPr>
                      <a:picLocks noChangeAspect="1" noChangeArrowheads="1"/>
                    </pic:cNvPicPr>
                  </pic:nvPicPr>
                  <pic:blipFill>
                    <a:blip r:embed="rId2"/>
                    <a:stretch>
                      <a:fillRect/>
                    </a:stretch>
                  </pic:blipFill>
                  <pic:spPr bwMode="auto">
                    <a:xfrm>
                      <a:off x="0" y="0"/>
                      <a:ext cx="4297680" cy="4297680"/>
                    </a:xfrm>
                    <a:prstGeom prst="rect">
                      <a:avLst/>
                    </a:prstGeom>
                    <a:noFill/>
                  </pic:spPr>
                </pic:pic>
              </a:graphicData>
            </a:graphic>
          </wp:inline>
        </w:drawing>
      </w:r>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4680"/>
        <w:gridCol w:w="4680"/>
      </w:tblGrid>
      <w:tr>
        <w:trPr>
          <w:cantSplit/>
        </w:trPr>
        <w:tc>
          <w:tcPr>
            <w:tcW w:w="4680" w:type="dxa"/>
            <w:tcBorders>
              <w:top w:val="nil"/>
              <w:start w:val="nil"/>
              <w:bottom w:val="nil"/>
              <w:end w:val="nil"/>
            </w:tcBorders>
            <w:shd w:fill="E8F1F6"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b/>
                <w:color w:val="000000"/>
                <w:kern w:val="0"/>
                <w:sz w:val="19"/>
                <w:szCs w:val="22"/>
                <w:lang w:val="en-US" w:eastAsia="en-US" w:bidi="ar-SA"/>
              </w:rPr>
              <w:t>VERSION</w:t>
              <w:br/>
              <w:t>1.2</w:t>
            </w:r>
          </w:p>
        </w:tc>
        <w:tc>
          <w:tcPr>
            <w:tcW w:w="4680" w:type="dxa"/>
            <w:tcBorders>
              <w:top w:val="nil"/>
              <w:start w:val="nil"/>
              <w:bottom w:val="nil"/>
              <w:end w:val="nil"/>
            </w:tcBorders>
            <w:shd w:fill="E8F1F6"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b/>
                <w:color w:val="000000"/>
                <w:kern w:val="0"/>
                <w:sz w:val="19"/>
                <w:szCs w:val="22"/>
                <w:lang w:val="en-US" w:eastAsia="en-US" w:bidi="ar-SA"/>
              </w:rPr>
              <w:t>DOCUMENT</w:t>
              <w:br/>
              <w:t>Device Manual</w:t>
            </w:r>
          </w:p>
        </w:tc>
      </w:tr>
    </w:tbl>
    <w:p>
      <w:pPr>
        <w:pStyle w:val="Normal"/>
        <w:rPr/>
      </w:pPr>
      <w:r>
        <w:rPr/>
      </w:r>
      <w:r>
        <w:br w:type="page"/>
      </w:r>
    </w:p>
    <w:p>
      <w:pPr>
        <w:pStyle w:val="Normal"/>
        <w:spacing w:before="0" w:after="100"/>
        <w:rPr/>
      </w:pPr>
      <w:r>
        <w:rPr>
          <w:rFonts w:eastAsia="Arial Unicode MS" w:cs="Arial"/>
          <w:b/>
          <w:color w:val="000000"/>
          <w:sz w:val="17"/>
        </w:rPr>
        <w:t>DOCUMENT NAVIGATION</w:t>
      </w:r>
    </w:p>
    <w:p>
      <w:pPr>
        <w:pStyle w:val="Normal"/>
        <w:spacing w:before="0" w:after="400"/>
        <w:rPr/>
      </w:pPr>
      <w:r>
        <w:rPr>
          <w:rFonts w:eastAsia="Arial Unicode MS" w:cs="Arial"/>
          <w:b/>
          <w:color w:val="000000"/>
          <w:sz w:val="48"/>
        </w:rPr>
        <w:t>Contents</w:t>
      </w:r>
    </w:p>
    <w:p>
      <w:pPr>
        <w:pStyle w:val="ManualTOC1"/>
        <w:spacing w:lineRule="auto" w:line="240" w:before="0" w:after="40"/>
        <w:rPr/>
      </w:pPr>
      <w:r>
        <w:rPr>
          <w:rFonts w:eastAsia="Arial Unicode MS" w:cs="Arial"/>
          <w:b/>
          <w:color w:val="000000"/>
          <w:sz w:val="20"/>
        </w:rPr>
        <w:t>1. Product Overview</w:t>
      </w:r>
      <w:r>
        <w:rPr>
          <w:color w:val="000000"/>
          <w:sz w:val="20"/>
        </w:rPr>
        <w:tab/>
      </w:r>
      <w:r>
        <w:rPr/>
        <w:fldChar w:fldCharType="begin"/>
      </w:r>
      <w:r>
        <w:rPr/>
        <w:instrText xml:space="preserve"> PAGEREF manual_heading_001 \h </w:instrText>
      </w:r>
      <w:r>
        <w:rPr/>
        <w:fldChar w:fldCharType="separate"/>
      </w:r>
      <w:r>
        <w:rPr/>
        <w:t>3</w:t>
      </w:r>
      <w:r>
        <w:rPr/>
        <w:fldChar w:fldCharType="end"/>
      </w:r>
    </w:p>
    <w:p>
      <w:pPr>
        <w:pStyle w:val="ManualTOC2"/>
        <w:spacing w:lineRule="auto" w:line="240" w:before="0" w:after="40"/>
        <w:rPr/>
      </w:pPr>
      <w:r>
        <w:rPr>
          <w:rFonts w:eastAsia="Arial Unicode MS" w:cs="Arial"/>
          <w:b w:val="false"/>
          <w:color w:val="607181"/>
          <w:sz w:val="20"/>
        </w:rPr>
        <w:t>1.1 Features</w:t>
      </w:r>
      <w:r>
        <w:rPr>
          <w:sz w:val="20"/>
        </w:rPr>
        <w:tab/>
      </w:r>
      <w:r>
        <w:rPr/>
        <w:fldChar w:fldCharType="begin"/>
      </w:r>
      <w:r>
        <w:rPr/>
        <w:instrText xml:space="preserve"> PAGEREF manual_heading_002 \h </w:instrText>
      </w:r>
      <w:r>
        <w:rPr/>
        <w:fldChar w:fldCharType="separate"/>
      </w:r>
      <w:r>
        <w:rPr/>
        <w:t>3</w:t>
      </w:r>
      <w:r>
        <w:rPr/>
        <w:fldChar w:fldCharType="end"/>
      </w:r>
    </w:p>
    <w:p>
      <w:pPr>
        <w:pStyle w:val="ManualTOC1"/>
        <w:spacing w:lineRule="auto" w:line="240" w:before="0" w:after="40"/>
        <w:rPr/>
      </w:pPr>
      <w:r>
        <w:rPr>
          <w:rFonts w:eastAsia="Arial Unicode MS" w:cs="Arial"/>
          <w:b/>
          <w:color w:val="18324A"/>
          <w:sz w:val="20"/>
        </w:rPr>
        <w:t>2. Technical Specifications</w:t>
      </w:r>
      <w:r>
        <w:rPr>
          <w:sz w:val="20"/>
        </w:rPr>
        <w:tab/>
      </w:r>
      <w:r>
        <w:rPr/>
        <w:fldChar w:fldCharType="begin"/>
      </w:r>
      <w:r>
        <w:rPr/>
        <w:instrText xml:space="preserve"> PAGEREF manual_heading_003 \h </w:instrText>
      </w:r>
      <w:r>
        <w:rPr/>
        <w:fldChar w:fldCharType="separate"/>
      </w:r>
      <w:r>
        <w:rPr/>
        <w:t>4</w:t>
      </w:r>
      <w:r>
        <w:rPr/>
        <w:fldChar w:fldCharType="end"/>
      </w:r>
    </w:p>
    <w:p>
      <w:pPr>
        <w:pStyle w:val="ManualTOC1"/>
        <w:spacing w:lineRule="auto" w:line="240" w:before="0" w:after="40"/>
        <w:rPr/>
      </w:pPr>
      <w:r>
        <w:rPr>
          <w:rFonts w:eastAsia="Arial Unicode MS" w:cs="Arial"/>
          <w:b/>
          <w:color w:val="18324A"/>
          <w:sz w:val="20"/>
        </w:rPr>
        <w:t>3. Before Installation</w:t>
      </w:r>
      <w:r>
        <w:rPr>
          <w:sz w:val="20"/>
        </w:rPr>
        <w:tab/>
      </w:r>
      <w:r>
        <w:rPr/>
        <w:fldChar w:fldCharType="begin"/>
      </w:r>
      <w:r>
        <w:rPr/>
        <w:instrText xml:space="preserve"> PAGEREF manual_heading_004 \h </w:instrText>
      </w:r>
      <w:r>
        <w:rPr/>
        <w:fldChar w:fldCharType="separate"/>
      </w:r>
      <w:r>
        <w:rPr/>
        <w:t>5</w:t>
      </w:r>
      <w:r>
        <w:rPr/>
        <w:fldChar w:fldCharType="end"/>
      </w:r>
    </w:p>
    <w:p>
      <w:pPr>
        <w:pStyle w:val="ManualTOC1"/>
        <w:spacing w:lineRule="auto" w:line="240" w:before="0" w:after="40"/>
        <w:rPr/>
      </w:pPr>
      <w:r>
        <w:rPr>
          <w:rFonts w:eastAsia="Arial Unicode MS" w:cs="Arial"/>
          <w:b/>
          <w:color w:val="18324A"/>
          <w:sz w:val="20"/>
        </w:rPr>
        <w:t>4. Interfaces and Power</w:t>
      </w:r>
      <w:r>
        <w:rPr>
          <w:sz w:val="20"/>
        </w:rPr>
        <w:tab/>
      </w:r>
      <w:r>
        <w:rPr/>
        <w:fldChar w:fldCharType="begin"/>
      </w:r>
      <w:r>
        <w:rPr/>
        <w:instrText xml:space="preserve"> PAGEREF manual_heading_005 \h </w:instrText>
      </w:r>
      <w:r>
        <w:rPr/>
        <w:fldChar w:fldCharType="separate"/>
      </w:r>
      <w:r>
        <w:rPr/>
        <w:t>5</w:t>
      </w:r>
      <w:r>
        <w:rPr/>
        <w:fldChar w:fldCharType="end"/>
      </w:r>
    </w:p>
    <w:p>
      <w:pPr>
        <w:pStyle w:val="ManualTOC1"/>
        <w:spacing w:lineRule="auto" w:line="240" w:before="0" w:after="40"/>
        <w:rPr/>
      </w:pPr>
      <w:r>
        <w:rPr>
          <w:rFonts w:eastAsia="Arial Unicode MS" w:cs="Arial"/>
          <w:b/>
          <w:color w:val="18324A"/>
          <w:sz w:val="20"/>
        </w:rPr>
        <w:t>5. Installation and Power-Up</w:t>
      </w:r>
      <w:r>
        <w:rPr>
          <w:sz w:val="20"/>
        </w:rPr>
        <w:tab/>
      </w:r>
      <w:r>
        <w:rPr/>
        <w:fldChar w:fldCharType="begin"/>
      </w:r>
      <w:r>
        <w:rPr/>
        <w:instrText xml:space="preserve"> PAGEREF manual_heading_006 \h </w:instrText>
      </w:r>
      <w:r>
        <w:rPr/>
        <w:fldChar w:fldCharType="separate"/>
      </w:r>
      <w:r>
        <w:rPr/>
        <w:t>6</w:t>
      </w:r>
      <w:r>
        <w:rPr/>
        <w:fldChar w:fldCharType="end"/>
      </w:r>
    </w:p>
    <w:p>
      <w:pPr>
        <w:pStyle w:val="ManualTOC2"/>
        <w:spacing w:lineRule="auto" w:line="240" w:before="0" w:after="40"/>
        <w:rPr/>
      </w:pPr>
      <w:r>
        <w:rPr>
          <w:rFonts w:eastAsia="Arial Unicode MS" w:cs="Arial"/>
          <w:b w:val="false"/>
          <w:color w:val="607181"/>
          <w:sz w:val="20"/>
        </w:rPr>
        <w:t>5.1 Mount the Gateway</w:t>
      </w:r>
      <w:r>
        <w:rPr>
          <w:sz w:val="20"/>
        </w:rPr>
        <w:tab/>
      </w:r>
      <w:r>
        <w:rPr/>
        <w:fldChar w:fldCharType="begin"/>
      </w:r>
      <w:r>
        <w:rPr/>
        <w:instrText xml:space="preserve"> PAGEREF manual_heading_007 \h </w:instrText>
      </w:r>
      <w:r>
        <w:rPr/>
        <w:fldChar w:fldCharType="separate"/>
      </w:r>
      <w:r>
        <w:rPr/>
        <w:t>6</w:t>
      </w:r>
      <w:r>
        <w:rPr/>
        <w:fldChar w:fldCharType="end"/>
      </w:r>
    </w:p>
    <w:p>
      <w:pPr>
        <w:pStyle w:val="ManualTOC2"/>
        <w:spacing w:lineRule="auto" w:line="240" w:before="0" w:after="40"/>
        <w:rPr/>
      </w:pPr>
      <w:r>
        <w:rPr>
          <w:rFonts w:eastAsia="Arial Unicode MS" w:cs="Arial"/>
          <w:b w:val="false"/>
          <w:color w:val="607181"/>
          <w:sz w:val="20"/>
        </w:rPr>
        <w:t>5.2 Install Antennas and SIM</w:t>
      </w:r>
      <w:r>
        <w:rPr>
          <w:sz w:val="20"/>
        </w:rPr>
        <w:tab/>
      </w:r>
      <w:r>
        <w:rPr/>
        <w:fldChar w:fldCharType="begin"/>
      </w:r>
      <w:r>
        <w:rPr/>
        <w:instrText xml:space="preserve"> PAGEREF manual_heading_008 \h </w:instrText>
      </w:r>
      <w:r>
        <w:rPr/>
        <w:fldChar w:fldCharType="separate"/>
      </w:r>
      <w:r>
        <w:rPr/>
        <w:t>7</w:t>
      </w:r>
      <w:r>
        <w:rPr/>
        <w:fldChar w:fldCharType="end"/>
      </w:r>
    </w:p>
    <w:p>
      <w:pPr>
        <w:pStyle w:val="ManualTOC2"/>
        <w:spacing w:lineRule="auto" w:line="240" w:before="0" w:after="40"/>
        <w:rPr/>
      </w:pPr>
      <w:r>
        <w:rPr>
          <w:rFonts w:eastAsia="Arial Unicode MS" w:cs="Arial"/>
          <w:b w:val="false"/>
          <w:color w:val="607181"/>
          <w:sz w:val="20"/>
        </w:rPr>
        <w:t>5.3 Connect Ethernet and Power</w:t>
      </w:r>
      <w:r>
        <w:rPr>
          <w:sz w:val="20"/>
        </w:rPr>
        <w:tab/>
      </w:r>
      <w:r>
        <w:rPr/>
        <w:fldChar w:fldCharType="begin"/>
      </w:r>
      <w:r>
        <w:rPr/>
        <w:instrText xml:space="preserve"> PAGEREF manual_heading_009 \h </w:instrText>
      </w:r>
      <w:r>
        <w:rPr/>
        <w:fldChar w:fldCharType="separate"/>
      </w:r>
      <w:r>
        <w:rPr/>
        <w:t>7</w:t>
      </w:r>
      <w:r>
        <w:rPr/>
        <w:fldChar w:fldCharType="end"/>
      </w:r>
    </w:p>
    <w:p>
      <w:pPr>
        <w:pStyle w:val="ManualTOC2"/>
        <w:spacing w:lineRule="auto" w:line="240" w:before="0" w:after="40"/>
        <w:rPr/>
      </w:pPr>
      <w:r>
        <w:rPr>
          <w:rFonts w:eastAsia="Arial Unicode MS" w:cs="Arial"/>
          <w:b w:val="false"/>
          <w:color w:val="607181"/>
          <w:sz w:val="20"/>
        </w:rPr>
        <w:t>5.4 Sealing Checks</w:t>
      </w:r>
      <w:r>
        <w:rPr>
          <w:sz w:val="20"/>
        </w:rPr>
        <w:tab/>
      </w:r>
      <w:r>
        <w:rPr/>
        <w:fldChar w:fldCharType="begin"/>
      </w:r>
      <w:r>
        <w:rPr/>
        <w:instrText xml:space="preserve"> PAGEREF manual_heading_010 \h </w:instrText>
      </w:r>
      <w:r>
        <w:rPr/>
        <w:fldChar w:fldCharType="separate"/>
      </w:r>
      <w:r>
        <w:rPr/>
        <w:t>8</w:t>
      </w:r>
      <w:r>
        <w:rPr/>
        <w:fldChar w:fldCharType="end"/>
      </w:r>
    </w:p>
    <w:p>
      <w:pPr>
        <w:pStyle w:val="ManualTOC1"/>
        <w:spacing w:lineRule="auto" w:line="240" w:before="0" w:after="40"/>
        <w:rPr/>
      </w:pPr>
      <w:r>
        <w:rPr>
          <w:rFonts w:eastAsia="Arial Unicode MS" w:cs="Arial"/>
          <w:b/>
          <w:color w:val="18324A"/>
          <w:sz w:val="20"/>
        </w:rPr>
        <w:t>6. First Login</w:t>
      </w:r>
      <w:r>
        <w:rPr>
          <w:sz w:val="20"/>
        </w:rPr>
        <w:tab/>
      </w:r>
      <w:r>
        <w:rPr/>
        <w:fldChar w:fldCharType="begin"/>
      </w:r>
      <w:r>
        <w:rPr/>
        <w:instrText xml:space="preserve"> PAGEREF manual_heading_011 \h </w:instrText>
      </w:r>
      <w:r>
        <w:rPr/>
        <w:fldChar w:fldCharType="separate"/>
      </w:r>
      <w:r>
        <w:rPr/>
        <w:t>8</w:t>
      </w:r>
      <w:r>
        <w:rPr/>
        <w:fldChar w:fldCharType="end"/>
      </w:r>
    </w:p>
    <w:p>
      <w:pPr>
        <w:pStyle w:val="ManualTOC2"/>
        <w:spacing w:lineRule="auto" w:line="240" w:before="0" w:after="40"/>
        <w:rPr/>
      </w:pPr>
      <w:r>
        <w:rPr>
          <w:rFonts w:eastAsia="Arial Unicode MS" w:cs="Arial"/>
          <w:b w:val="false"/>
          <w:color w:val="607181"/>
          <w:sz w:val="20"/>
        </w:rPr>
        <w:t>6.1 Access over Ethernet</w:t>
      </w:r>
      <w:r>
        <w:rPr>
          <w:sz w:val="20"/>
        </w:rPr>
        <w:tab/>
      </w:r>
      <w:r>
        <w:rPr/>
        <w:fldChar w:fldCharType="begin"/>
      </w:r>
      <w:r>
        <w:rPr/>
        <w:instrText xml:space="preserve"> PAGEREF manual_heading_012 \h </w:instrText>
      </w:r>
      <w:r>
        <w:rPr/>
        <w:fldChar w:fldCharType="separate"/>
      </w:r>
      <w:r>
        <w:rPr/>
        <w:t>8</w:t>
      </w:r>
      <w:r>
        <w:rPr/>
        <w:fldChar w:fldCharType="end"/>
      </w:r>
    </w:p>
    <w:p>
      <w:pPr>
        <w:pStyle w:val="ManualTOC2"/>
        <w:spacing w:lineRule="auto" w:line="240" w:before="0" w:after="40"/>
        <w:rPr/>
      </w:pPr>
      <w:r>
        <w:rPr>
          <w:rFonts w:eastAsia="Arial Unicode MS" w:cs="Arial"/>
          <w:b w:val="false"/>
          <w:color w:val="607181"/>
          <w:sz w:val="20"/>
        </w:rPr>
        <w:t>6.2 Access over Wi-Fi AP</w:t>
      </w:r>
      <w:r>
        <w:rPr>
          <w:sz w:val="20"/>
        </w:rPr>
        <w:tab/>
      </w:r>
      <w:r>
        <w:rPr/>
        <w:fldChar w:fldCharType="begin"/>
      </w:r>
      <w:r>
        <w:rPr/>
        <w:instrText xml:space="preserve"> PAGEREF manual_heading_013 \h </w:instrText>
      </w:r>
      <w:r>
        <w:rPr/>
        <w:fldChar w:fldCharType="separate"/>
      </w:r>
      <w:r>
        <w:rPr/>
        <w:t>9</w:t>
      </w:r>
      <w:r>
        <w:rPr/>
        <w:fldChar w:fldCharType="end"/>
      </w:r>
    </w:p>
    <w:p>
      <w:pPr>
        <w:pStyle w:val="ManualTOC1"/>
        <w:spacing w:lineRule="auto" w:line="240" w:before="0" w:after="40"/>
        <w:rPr/>
      </w:pPr>
      <w:r>
        <w:rPr>
          <w:rFonts w:eastAsia="Arial Unicode MS" w:cs="Arial"/>
          <w:b/>
          <w:color w:val="18324A"/>
          <w:sz w:val="20"/>
        </w:rPr>
        <w:t>7. Configure Backhaul</w:t>
      </w:r>
      <w:r>
        <w:rPr>
          <w:sz w:val="20"/>
        </w:rPr>
        <w:tab/>
      </w:r>
      <w:r>
        <w:rPr/>
        <w:fldChar w:fldCharType="begin"/>
      </w:r>
      <w:r>
        <w:rPr/>
        <w:instrText xml:space="preserve"> PAGEREF manual_heading_014 \h </w:instrText>
      </w:r>
      <w:r>
        <w:rPr/>
        <w:fldChar w:fldCharType="separate"/>
      </w:r>
      <w:r>
        <w:rPr/>
        <w:t>9</w:t>
      </w:r>
      <w:r>
        <w:rPr/>
        <w:fldChar w:fldCharType="end"/>
      </w:r>
    </w:p>
    <w:p>
      <w:pPr>
        <w:pStyle w:val="ManualTOC2"/>
        <w:spacing w:lineRule="auto" w:line="240" w:before="0" w:after="40"/>
        <w:rPr/>
      </w:pPr>
      <w:r>
        <w:rPr>
          <w:rFonts w:eastAsia="Arial Unicode MS" w:cs="Arial"/>
          <w:b w:val="false"/>
          <w:color w:val="607181"/>
          <w:sz w:val="20"/>
        </w:rPr>
        <w:t>7.1 Ethernet</w:t>
      </w:r>
      <w:r>
        <w:rPr>
          <w:sz w:val="20"/>
        </w:rPr>
        <w:tab/>
      </w:r>
      <w:r>
        <w:rPr/>
        <w:fldChar w:fldCharType="begin"/>
      </w:r>
      <w:r>
        <w:rPr/>
        <w:instrText xml:space="preserve"> PAGEREF manual_heading_015 \h </w:instrText>
      </w:r>
      <w:r>
        <w:rPr/>
        <w:fldChar w:fldCharType="separate"/>
      </w:r>
      <w:r>
        <w:rPr/>
        <w:t>9</w:t>
      </w:r>
      <w:r>
        <w:rPr/>
        <w:fldChar w:fldCharType="end"/>
      </w:r>
    </w:p>
    <w:p>
      <w:pPr>
        <w:pStyle w:val="ManualTOC2"/>
        <w:spacing w:lineRule="auto" w:line="240" w:before="0" w:after="40"/>
        <w:rPr/>
      </w:pPr>
      <w:r>
        <w:rPr>
          <w:rFonts w:eastAsia="Arial Unicode MS" w:cs="Arial"/>
          <w:b w:val="false"/>
          <w:color w:val="607181"/>
          <w:sz w:val="20"/>
        </w:rPr>
        <w:t>7.2 Wi-Fi STA</w:t>
      </w:r>
      <w:r>
        <w:rPr>
          <w:sz w:val="20"/>
        </w:rPr>
        <w:tab/>
      </w:r>
      <w:r>
        <w:rPr/>
        <w:fldChar w:fldCharType="begin"/>
      </w:r>
      <w:r>
        <w:rPr/>
        <w:instrText xml:space="preserve"> PAGEREF manual_heading_016 \h </w:instrText>
      </w:r>
      <w:r>
        <w:rPr/>
        <w:fldChar w:fldCharType="separate"/>
      </w:r>
      <w:r>
        <w:rPr/>
        <w:t>9</w:t>
      </w:r>
      <w:r>
        <w:rPr/>
        <w:fldChar w:fldCharType="end"/>
      </w:r>
    </w:p>
    <w:p>
      <w:pPr>
        <w:pStyle w:val="ManualTOC2"/>
        <w:spacing w:lineRule="auto" w:line="240" w:before="0" w:after="40"/>
        <w:rPr/>
      </w:pPr>
      <w:r>
        <w:rPr>
          <w:rFonts w:eastAsia="Arial Unicode MS" w:cs="Arial"/>
          <w:b w:val="false"/>
          <w:color w:val="607181"/>
          <w:sz w:val="20"/>
        </w:rPr>
        <w:t>7.3 4G</w:t>
      </w:r>
      <w:r>
        <w:rPr>
          <w:sz w:val="20"/>
        </w:rPr>
        <w:tab/>
      </w:r>
      <w:r>
        <w:rPr/>
        <w:fldChar w:fldCharType="begin"/>
      </w:r>
      <w:r>
        <w:rPr/>
        <w:instrText xml:space="preserve"> PAGEREF manual_heading_017 \h </w:instrText>
      </w:r>
      <w:r>
        <w:rPr/>
        <w:fldChar w:fldCharType="separate"/>
      </w:r>
      <w:r>
        <w:rPr/>
        <w:t>9</w:t>
      </w:r>
      <w:r>
        <w:rPr/>
        <w:fldChar w:fldCharType="end"/>
      </w:r>
    </w:p>
    <w:p>
      <w:pPr>
        <w:pStyle w:val="ManualTOC1"/>
        <w:spacing w:lineRule="auto" w:line="240" w:before="0" w:after="40"/>
        <w:rPr/>
      </w:pPr>
      <w:r>
        <w:rPr>
          <w:rFonts w:eastAsia="Arial Unicode MS" w:cs="Arial"/>
          <w:b/>
          <w:color w:val="18324A"/>
          <w:sz w:val="20"/>
        </w:rPr>
        <w:t>8. Connect to a LoRaWAN Platform</w:t>
      </w:r>
      <w:r>
        <w:rPr>
          <w:sz w:val="20"/>
        </w:rPr>
        <w:tab/>
      </w:r>
      <w:r>
        <w:rPr/>
        <w:fldChar w:fldCharType="begin"/>
      </w:r>
      <w:r>
        <w:rPr/>
        <w:instrText xml:space="preserve"> PAGEREF manual_heading_018 \h </w:instrText>
      </w:r>
      <w:r>
        <w:rPr/>
        <w:fldChar w:fldCharType="separate"/>
      </w:r>
      <w:r>
        <w:rPr/>
        <w:t>10</w:t>
      </w:r>
      <w:r>
        <w:rPr/>
        <w:fldChar w:fldCharType="end"/>
      </w:r>
    </w:p>
    <w:p>
      <w:pPr>
        <w:pStyle w:val="ManualTOC1"/>
        <w:spacing w:lineRule="auto" w:line="240" w:before="0" w:after="40"/>
        <w:rPr/>
      </w:pPr>
      <w:r>
        <w:rPr>
          <w:rFonts w:eastAsia="Arial Unicode MS" w:cs="Arial"/>
          <w:b/>
          <w:color w:val="18324A"/>
          <w:sz w:val="20"/>
        </w:rPr>
        <w:t>9. Maintenance and Recovery</w:t>
      </w:r>
      <w:r>
        <w:rPr>
          <w:sz w:val="20"/>
        </w:rPr>
        <w:tab/>
      </w:r>
      <w:r>
        <w:rPr/>
        <w:fldChar w:fldCharType="begin"/>
      </w:r>
      <w:r>
        <w:rPr/>
        <w:instrText xml:space="preserve"> PAGEREF manual_heading_019 \h </w:instrText>
      </w:r>
      <w:r>
        <w:rPr/>
        <w:fldChar w:fldCharType="separate"/>
      </w:r>
      <w:r>
        <w:rPr/>
        <w:t>10</w:t>
      </w:r>
      <w:r>
        <w:rPr/>
        <w:fldChar w:fldCharType="end"/>
      </w:r>
    </w:p>
    <w:p>
      <w:pPr>
        <w:pStyle w:val="ManualTOC2"/>
        <w:spacing w:lineRule="auto" w:line="240" w:before="0" w:after="40"/>
        <w:rPr/>
      </w:pPr>
      <w:r>
        <w:rPr>
          <w:rFonts w:eastAsia="Arial Unicode MS" w:cs="Arial"/>
          <w:b w:val="false"/>
          <w:color w:val="607181"/>
          <w:sz w:val="20"/>
        </w:rPr>
        <w:t>9.1 Routine Maintenance</w:t>
      </w:r>
      <w:r>
        <w:rPr>
          <w:sz w:val="20"/>
        </w:rPr>
        <w:tab/>
      </w:r>
      <w:r>
        <w:rPr/>
        <w:fldChar w:fldCharType="begin"/>
      </w:r>
      <w:r>
        <w:rPr/>
        <w:instrText xml:space="preserve"> PAGEREF manual_heading_020 \h </w:instrText>
      </w:r>
      <w:r>
        <w:rPr/>
        <w:fldChar w:fldCharType="separate"/>
      </w:r>
      <w:r>
        <w:rPr/>
        <w:t>10</w:t>
      </w:r>
      <w:r>
        <w:rPr/>
        <w:fldChar w:fldCharType="end"/>
      </w:r>
    </w:p>
    <w:p>
      <w:pPr>
        <w:pStyle w:val="ManualTOC2"/>
        <w:spacing w:lineRule="auto" w:line="240" w:before="0" w:after="40"/>
        <w:rPr/>
      </w:pPr>
      <w:r>
        <w:rPr>
          <w:rFonts w:eastAsia="Arial Unicode MS" w:cs="Arial"/>
          <w:b w:val="false"/>
          <w:color w:val="607181"/>
          <w:sz w:val="20"/>
        </w:rPr>
        <w:t>9.2 Firmware Update</w:t>
      </w:r>
      <w:r>
        <w:rPr>
          <w:sz w:val="20"/>
        </w:rPr>
        <w:tab/>
      </w:r>
      <w:r>
        <w:rPr/>
        <w:fldChar w:fldCharType="begin"/>
      </w:r>
      <w:r>
        <w:rPr/>
        <w:instrText xml:space="preserve"> PAGEREF manual_heading_021 \h </w:instrText>
      </w:r>
      <w:r>
        <w:rPr/>
        <w:fldChar w:fldCharType="separate"/>
      </w:r>
      <w:r>
        <w:rPr/>
        <w:t>10</w:t>
      </w:r>
      <w:r>
        <w:rPr/>
        <w:fldChar w:fldCharType="end"/>
      </w:r>
    </w:p>
    <w:p>
      <w:pPr>
        <w:pStyle w:val="ManualTOC2"/>
        <w:spacing w:lineRule="auto" w:line="240" w:before="0" w:after="40"/>
        <w:rPr/>
      </w:pPr>
      <w:r>
        <w:rPr>
          <w:rFonts w:eastAsia="Arial Unicode MS" w:cs="Arial"/>
          <w:b w:val="false"/>
          <w:color w:val="607181"/>
          <w:sz w:val="20"/>
        </w:rPr>
        <w:t>9.3 Factory Reset</w:t>
      </w:r>
      <w:r>
        <w:rPr>
          <w:sz w:val="20"/>
        </w:rPr>
        <w:tab/>
      </w:r>
      <w:r>
        <w:rPr/>
        <w:fldChar w:fldCharType="begin"/>
      </w:r>
      <w:r>
        <w:rPr/>
        <w:instrText xml:space="preserve"> PAGEREF manual_heading_022 \h </w:instrText>
      </w:r>
      <w:r>
        <w:rPr/>
        <w:fldChar w:fldCharType="separate"/>
      </w:r>
      <w:r>
        <w:rPr/>
        <w:t>11</w:t>
      </w:r>
      <w:r>
        <w:rPr/>
        <w:fldChar w:fldCharType="end"/>
      </w:r>
    </w:p>
    <w:p>
      <w:pPr>
        <w:pStyle w:val="ManualTOC2"/>
        <w:spacing w:lineRule="auto" w:line="240" w:before="0" w:after="40"/>
        <w:rPr/>
      </w:pPr>
      <w:r>
        <w:rPr>
          <w:rFonts w:eastAsia="Arial Unicode MS" w:cs="Arial"/>
          <w:b w:val="false"/>
          <w:color w:val="607181"/>
          <w:sz w:val="20"/>
        </w:rPr>
        <w:t>9.4 Operating Indication</w:t>
      </w:r>
      <w:r>
        <w:rPr>
          <w:sz w:val="20"/>
        </w:rPr>
        <w:tab/>
      </w:r>
      <w:r>
        <w:rPr/>
        <w:fldChar w:fldCharType="begin"/>
      </w:r>
      <w:r>
        <w:rPr/>
        <w:instrText xml:space="preserve"> PAGEREF manual_heading_023 \h </w:instrText>
      </w:r>
      <w:r>
        <w:rPr/>
        <w:fldChar w:fldCharType="separate"/>
      </w:r>
      <w:r>
        <w:rPr/>
        <w:t>11</w:t>
      </w:r>
      <w:r>
        <w:rPr/>
        <w:fldChar w:fldCharType="end"/>
      </w:r>
    </w:p>
    <w:p>
      <w:pPr>
        <w:pStyle w:val="ManualTOC1"/>
        <w:spacing w:lineRule="auto" w:line="240" w:before="0" w:after="40"/>
        <w:rPr/>
      </w:pPr>
      <w:r>
        <w:rPr>
          <w:rFonts w:eastAsia="Arial Unicode MS" w:cs="Arial"/>
          <w:b/>
          <w:color w:val="18324A"/>
          <w:sz w:val="20"/>
        </w:rPr>
        <w:t>10. Troubleshooting</w:t>
      </w:r>
      <w:r>
        <w:rPr>
          <w:sz w:val="20"/>
        </w:rPr>
        <w:tab/>
      </w:r>
      <w:r>
        <w:rPr/>
        <w:fldChar w:fldCharType="begin"/>
      </w:r>
      <w:r>
        <w:rPr/>
        <w:instrText xml:space="preserve"> PAGEREF manual_heading_024 \h </w:instrText>
      </w:r>
      <w:r>
        <w:rPr/>
        <w:fldChar w:fldCharType="separate"/>
      </w:r>
      <w:r>
        <w:rPr/>
        <w:t>11</w:t>
      </w:r>
      <w:r>
        <w:rPr/>
        <w:fldChar w:fldCharType="end"/>
      </w:r>
    </w:p>
    <w:p>
      <w:pPr>
        <w:pStyle w:val="ManualTOC1"/>
        <w:spacing w:lineRule="auto" w:line="240" w:before="0" w:after="40"/>
        <w:rPr/>
      </w:pPr>
      <w:r>
        <w:rPr>
          <w:rFonts w:eastAsia="Arial Unicode MS" w:cs="Arial"/>
          <w:b/>
          <w:color w:val="18324A"/>
          <w:sz w:val="20"/>
        </w:rPr>
        <w:t>11. Related Documents</w:t>
      </w:r>
      <w:r>
        <w:rPr>
          <w:sz w:val="20"/>
        </w:rPr>
        <w:tab/>
      </w:r>
      <w:r>
        <w:rPr/>
        <w:fldChar w:fldCharType="begin"/>
      </w:r>
      <w:r>
        <w:rPr/>
        <w:instrText xml:space="preserve"> PAGEREF manual_heading_025 \h </w:instrText>
      </w:r>
      <w:r>
        <w:rPr/>
        <w:fldChar w:fldCharType="separate"/>
      </w:r>
      <w:r>
        <w:rPr/>
        <w:t>12</w:t>
      </w:r>
      <w:r>
        <w:rPr/>
        <w:fldChar w:fldCharType="end"/>
      </w:r>
    </w:p>
    <w:p>
      <w:pPr>
        <w:pStyle w:val="Normal"/>
        <w:rPr/>
      </w:pPr>
      <w:r>
        <w:rPr/>
      </w:r>
      <w:r>
        <w:br w:type="page"/>
      </w:r>
    </w:p>
    <w:p>
      <w:pPr>
        <w:pStyle w:val="Normal"/>
        <w:spacing w:before="0" w:after="120"/>
        <w:rPr/>
      </w:pPr>
      <w:r>
        <w:rPr>
          <w:rFonts w:eastAsia="Arial Unicode MS" w:cs="Arial"/>
          <w:color w:val="243442"/>
          <w:sz w:val="22"/>
        </w:rPr>
        <w:t>Document version: 1.2</w:t>
      </w:r>
    </w:p>
    <w:p>
      <w:pPr>
        <w:pStyle w:val="Normal"/>
        <w:rPr/>
      </w:pPr>
      <w:r>
        <w:rPr>
          <w:rFonts w:eastAsia="Arial Unicode MS" w:cs="Arial"/>
          <w:color w:val="243442"/>
          <w:sz w:val="22"/>
        </w:rPr>
        <w:t>Applies to: GD62 IP67 outdoor LoRaWAN gateways. Check the device label and delivery list for the radio region, cellular options and power configuration.</w:t>
      </w:r>
    </w:p>
    <w:p>
      <w:pPr>
        <w:pStyle w:val="Heading1"/>
        <w:spacing w:lineRule="exact" w:line="440" w:before="240" w:after="120"/>
        <w:rPr/>
      </w:pPr>
      <w:bookmarkStart w:id="0" w:name="manual_heading_001"/>
      <w:r>
        <w:rPr>
          <w:rFonts w:eastAsia="Arial Unicode MS" w:cs="Arial" w:ascii="Arial" w:hAnsi="Arial"/>
          <w:color w:val="000000"/>
          <w:sz w:val="32"/>
        </w:rPr>
        <w:t>1. Product Overview</w:t>
      </w:r>
      <w:bookmarkEnd w:id="0"/>
    </w:p>
    <w:p>
      <w:pPr>
        <w:pStyle w:val="Normal"/>
        <w:spacing w:lineRule="exact" w:line="340" w:before="0" w:after="40"/>
        <w:rPr/>
      </w:pPr>
      <w:r>
        <w:rPr>
          <w:rFonts w:eastAsia="Arial Unicode MS" w:cs="Arial"/>
          <w:color w:val="243442"/>
          <w:sz w:val="21"/>
        </w:rPr>
        <w:t>The GD62 IP67 outdoor LoRaWAN gateway receives and forwards LoRaWAN terminal traffic to a network platform. It is intended for campuses, industrial sites, building perimeters and other outdoor IoT installations.</w:t>
      </w:r>
    </w:p>
    <w:p>
      <w:pPr>
        <w:pStyle w:val="Normal"/>
        <w:spacing w:lineRule="exact" w:line="340" w:before="0" w:after="40"/>
        <w:rPr/>
      </w:pPr>
      <w:r>
        <w:rPr>
          <w:rFonts w:eastAsia="Arial Unicode MS" w:cs="Arial"/>
          <w:color w:val="243442"/>
          <w:sz w:val="21"/>
        </w:rPr>
        <w:t>The gateway uses an ESP32-S3 controller and supports Ethernet, 2.4 GHz Wi-Fi and optional 4G backhaul. The gwTool6 Web console provides network, LoRaWAN server, radio and maintenance settings.</w:t>
      </w:r>
    </w:p>
    <w:p>
      <w:pPr>
        <w:pStyle w:val="Normal"/>
        <w:spacing w:lineRule="exact" w:line="340" w:before="0" w:after="40"/>
        <w:rPr/>
      </w:pPr>
      <w:r>
        <w:rPr>
          <w:rFonts w:eastAsia="Arial Unicode MS" w:cs="Arial"/>
          <w:color w:val="243442"/>
          <w:sz w:val="21"/>
        </w:rPr>
        <w:t xml:space="preserve">The product has an </w:t>
      </w:r>
      <w:r>
        <w:rPr>
          <w:rFonts w:eastAsia="Arial Unicode MS" w:cs="Arial"/>
          <w:b/>
          <w:color w:val="243442"/>
          <w:sz w:val="21"/>
        </w:rPr>
        <w:t>IP67</w:t>
      </w:r>
      <w:r>
        <w:rPr>
          <w:rFonts w:eastAsia="Arial Unicode MS" w:cs="Arial"/>
          <w:color w:val="243442"/>
          <w:sz w:val="21"/>
        </w:rPr>
        <w:t xml:space="preserve"> enclosure and an operating temperature range of </w:t>
      </w:r>
      <w:r>
        <w:rPr>
          <w:rFonts w:eastAsia="Arial Unicode MS" w:cs="Arial"/>
          <w:b/>
          <w:color w:val="243442"/>
          <w:sz w:val="21"/>
        </w:rPr>
        <w:t>-20 °C to 60 °C</w:t>
      </w:r>
      <w:r>
        <w:rPr>
          <w:rFonts w:eastAsia="Arial Unicode MS" w:cs="Arial"/>
          <w:color w:val="243442"/>
          <w:sz w:val="21"/>
        </w:rPr>
        <w:t>. Wall and pole mounting are supported. Seal every cable entry, antenna connection, service opening and unused port before operation.</w:t>
      </w:r>
    </w:p>
    <w:p>
      <w:pPr>
        <w:pStyle w:val="Normal"/>
        <w:keepNext w:val="true"/>
        <w:keepLines/>
        <w:spacing w:lineRule="auto" w:line="240" w:before="80" w:after="40"/>
        <w:jc w:val="center"/>
        <w:rPr/>
      </w:pPr>
      <w:r>
        <w:rPr/>
        <w:drawing>
          <wp:inline distT="0" distB="0" distL="0" distR="0">
            <wp:extent cx="2011680" cy="2011680"/>
            <wp:effectExtent l="0" t="0" r="0" b="0"/>
            <wp:docPr id="2" name="Picture 2" descr="GD62 IP67 gateway enclosure illustration" title="GD62 IP67 gateway enclosur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D62 IP67 gateway enclosure illustration" title="GD62 IP67 gateway enclosure illustration"/>
                    <pic:cNvPicPr>
                      <a:picLocks noChangeAspect="1" noChangeArrowheads="1"/>
                    </pic:cNvPicPr>
                  </pic:nvPicPr>
                  <pic:blipFill>
                    <a:blip r:embed="rId3"/>
                    <a:stretch>
                      <a:fillRect/>
                    </a:stretch>
                  </pic:blipFill>
                  <pic:spPr bwMode="auto">
                    <a:xfrm>
                      <a:off x="0" y="0"/>
                      <a:ext cx="2011680" cy="2011680"/>
                    </a:xfrm>
                    <a:prstGeom prst="rect">
                      <a:avLst/>
                    </a:prstGeom>
                    <a:noFill/>
                  </pic:spPr>
                </pic:pic>
              </a:graphicData>
            </a:graphic>
          </wp:inline>
        </w:drawing>
      </w:r>
    </w:p>
    <w:p>
      <w:pPr>
        <w:pStyle w:val="FigureCaption"/>
        <w:spacing w:lineRule="exact" w:line="340" w:before="0" w:after="40"/>
        <w:rPr/>
      </w:pPr>
      <w:r>
        <w:rPr>
          <w:sz w:val="21"/>
        </w:rPr>
        <w:t>Figure  GD62 IP67 gateway enclosure illustration</w:t>
      </w:r>
    </w:p>
    <w:p>
      <w:pPr>
        <w:pStyle w:val="Normal"/>
        <w:spacing w:lineRule="exact" w:line="340" w:before="0" w:after="40"/>
        <w:rPr/>
      </w:pPr>
      <w:r>
        <w:rPr>
          <w:rFonts w:eastAsia="Arial Unicode MS" w:cs="Arial"/>
          <w:color w:val="243442"/>
          <w:sz w:val="21"/>
        </w:rPr>
        <w:t>Figure 1: GD62 enclosure illustration. Ports, antennas and indicators depend on the delivered configuration; enclosure markings do not imply that every function is fitted.</w:t>
      </w:r>
    </w:p>
    <w:p>
      <w:pPr>
        <w:pStyle w:val="Heading2"/>
        <w:spacing w:lineRule="exact" w:line="360" w:before="240" w:after="120"/>
        <w:rPr/>
      </w:pPr>
      <w:bookmarkStart w:id="1" w:name="manual_heading_002"/>
      <w:r>
        <w:rPr>
          <w:rFonts w:eastAsia="Arial Unicode MS" w:cs="Arial" w:ascii="Arial" w:hAnsi="Arial"/>
          <w:color w:val="000000"/>
          <w:sz w:val="24"/>
        </w:rPr>
        <w:t>1.1 Features</w:t>
      </w:r>
      <w:bookmarkEnd w:id="1"/>
    </w:p>
    <w:p>
      <w:pPr>
        <w:pStyle w:val="ListBullet"/>
        <w:numPr>
          <w:ilvl w:val="0"/>
          <w:numId w:val="1"/>
        </w:numPr>
        <w:spacing w:lineRule="exact" w:line="340" w:before="0" w:after="40"/>
        <w:ind w:hanging="271" w:start="540"/>
        <w:contextualSpacing/>
        <w:rPr/>
      </w:pPr>
      <w:r>
        <w:rPr>
          <w:rFonts w:eastAsia="Arial Unicode MS" w:cs="Arial"/>
          <w:color w:val="243442"/>
          <w:sz w:val="21"/>
        </w:rPr>
        <w:t>ESP32-S3 controller with 8 MB Flash and 8 MB PSRAM.</w:t>
      </w:r>
    </w:p>
    <w:p>
      <w:pPr>
        <w:pStyle w:val="ListBullet"/>
        <w:numPr>
          <w:ilvl w:val="0"/>
          <w:numId w:val="1"/>
        </w:numPr>
        <w:spacing w:lineRule="exact" w:line="340" w:before="0" w:after="40"/>
        <w:ind w:hanging="271" w:start="540"/>
        <w:contextualSpacing/>
        <w:rPr/>
      </w:pPr>
      <w:r>
        <w:rPr>
          <w:rFonts w:eastAsia="Arial Unicode MS" w:cs="Arial"/>
          <w:color w:val="243442"/>
          <w:sz w:val="21"/>
        </w:rPr>
        <w:t>Semtech SX1301 or SX1302 concentrator, according to the supplied configuration.</w:t>
      </w:r>
    </w:p>
    <w:p>
      <w:pPr>
        <w:pStyle w:val="ListBullet"/>
        <w:numPr>
          <w:ilvl w:val="0"/>
          <w:numId w:val="1"/>
        </w:numPr>
        <w:spacing w:lineRule="exact" w:line="340" w:before="0" w:after="40"/>
        <w:ind w:hanging="271" w:start="540"/>
        <w:contextualSpacing/>
        <w:rPr/>
      </w:pPr>
      <w:r>
        <w:rPr>
          <w:rFonts w:eastAsia="Arial Unicode MS" w:cs="Arial"/>
          <w:color w:val="243442"/>
          <w:sz w:val="21"/>
        </w:rPr>
        <w:t>Single LoRa antenna, eight receive frequencies and half-duplex operation.</w:t>
      </w:r>
    </w:p>
    <w:p>
      <w:pPr>
        <w:pStyle w:val="ListBullet"/>
        <w:numPr>
          <w:ilvl w:val="0"/>
          <w:numId w:val="1"/>
        </w:numPr>
        <w:spacing w:lineRule="exact" w:line="340" w:before="0" w:after="40"/>
        <w:ind w:hanging="271" w:start="540"/>
        <w:contextualSpacing/>
        <w:rPr/>
      </w:pPr>
      <w:r>
        <w:rPr>
          <w:rFonts w:eastAsia="Arial Unicode MS" w:cs="Arial"/>
          <w:color w:val="243442"/>
          <w:sz w:val="21"/>
        </w:rPr>
        <w:t>Ethernet and Wi-Fi STA backhaul, with optional 4G cellular connectivity.</w:t>
      </w:r>
    </w:p>
    <w:p>
      <w:pPr>
        <w:pStyle w:val="ListBullet"/>
        <w:numPr>
          <w:ilvl w:val="0"/>
          <w:numId w:val="1"/>
        </w:numPr>
        <w:spacing w:lineRule="exact" w:line="340" w:before="0" w:after="40"/>
        <w:ind w:hanging="271" w:start="540"/>
        <w:contextualSpacing/>
        <w:rPr/>
      </w:pPr>
      <w:r>
        <w:rPr>
          <w:rFonts w:eastAsia="Arial Unicode MS" w:cs="Arial"/>
          <w:color w:val="243442"/>
          <w:sz w:val="21"/>
        </w:rPr>
        <w:t>Semtech UDP Packet Forwarder, Basic Station and MQTT Bridge support.</w:t>
      </w:r>
    </w:p>
    <w:p>
      <w:pPr>
        <w:pStyle w:val="ListBullet"/>
        <w:numPr>
          <w:ilvl w:val="0"/>
          <w:numId w:val="1"/>
        </w:numPr>
        <w:spacing w:lineRule="exact" w:line="340" w:before="0" w:after="40"/>
        <w:ind w:hanging="271" w:start="540"/>
        <w:contextualSpacing/>
        <w:rPr/>
      </w:pPr>
      <w:r>
        <w:rPr>
          <w:rFonts w:eastAsia="Arial Unicode MS" w:cs="Arial"/>
          <w:color w:val="243442"/>
          <w:sz w:val="21"/>
        </w:rPr>
        <w:t>Local Wi-Fi AP configuration and a Chinese/English Web console.</w:t>
      </w:r>
    </w:p>
    <w:p>
      <w:pPr>
        <w:pStyle w:val="ListBullet"/>
        <w:numPr>
          <w:ilvl w:val="0"/>
          <w:numId w:val="1"/>
        </w:numPr>
        <w:spacing w:lineRule="exact" w:line="340" w:before="0" w:after="40"/>
        <w:ind w:hanging="271" w:start="540"/>
        <w:contextualSpacing/>
        <w:rPr/>
      </w:pPr>
      <w:r>
        <w:rPr>
          <w:rFonts w:eastAsia="Arial Unicode MS" w:cs="Arial"/>
          <w:color w:val="243442"/>
          <w:sz w:val="21"/>
        </w:rPr>
        <w:t>Web OTA, runtime logs and factory reset.</w:t>
      </w:r>
    </w:p>
    <w:p>
      <w:pPr>
        <w:pStyle w:val="ListBullet"/>
        <w:numPr>
          <w:ilvl w:val="0"/>
          <w:numId w:val="1"/>
        </w:numPr>
        <w:spacing w:lineRule="exact" w:line="340" w:before="0" w:after="40"/>
        <w:ind w:hanging="271" w:start="540"/>
        <w:contextualSpacing/>
        <w:rPr/>
      </w:pPr>
      <w:r>
        <w:rPr>
          <w:rFonts w:eastAsia="Arial Unicode MS" w:cs="Arial"/>
          <w:color w:val="243442"/>
          <w:sz w:val="21"/>
        </w:rPr>
        <w:t>IP67 enclosure for fixed outdoor installation.</w:t>
      </w:r>
      <w:r>
        <w:br w:type="page"/>
      </w:r>
    </w:p>
    <w:p>
      <w:pPr>
        <w:pStyle w:val="Heading1"/>
        <w:spacing w:lineRule="exact" w:line="440" w:before="240" w:after="120"/>
        <w:rPr/>
      </w:pPr>
      <w:bookmarkStart w:id="2" w:name="manual_heading_003"/>
      <w:r>
        <w:rPr>
          <w:rFonts w:eastAsia="Arial Unicode MS" w:cs="Arial" w:ascii="Arial" w:hAnsi="Arial"/>
          <w:color w:val="000000"/>
          <w:sz w:val="32"/>
        </w:rPr>
        <w:t>2. Technical Specifications</w:t>
      </w:r>
      <w:bookmarkEnd w:id="2"/>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000"/>
        <w:gridCol w:w="2250"/>
        <w:gridCol w:w="5110"/>
      </w:tblGrid>
      <w:tr>
        <w:trPr>
          <w:tblHeader w:val="true"/>
          <w:cantSplit/>
        </w:trPr>
        <w:tc>
          <w:tcPr>
            <w:tcW w:w="20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Category</w:t>
            </w:r>
          </w:p>
        </w:tc>
        <w:tc>
          <w:tcPr>
            <w:tcW w:w="225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Parameter</w:t>
            </w:r>
          </w:p>
        </w:tc>
        <w:tc>
          <w:tcPr>
            <w:tcW w:w="511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Specification</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Product identification</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Model</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GD62</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Computing</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Controller</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ESP32-S3</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Computing</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Flash / PSRAM</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8 MB / 8 MB</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Concentrator</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Semtech SX1301 or SX1302, as supplied</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Receive frequencies</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8</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Antenna and mode</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Single LoRa antenna, half-duplex</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Radio variant</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400 MHz class or 800 MHz and above, as ordered</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Regional profiles</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Hardware variants for CN470, EU433, EU868, AS923, AU915 and US915</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Forwarding protocols</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Semtech UDP, Basic Station, MQTT Bridge</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Network</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Ethernet</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10/100 Mbps; DHCP and static IPv4</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Network</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Wi-Fi</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2.4 GHz, AP / STA</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Network</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Cellular backhaul</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Optional 4G; module, bands and operator support as supplied</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Network</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Link management</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Ethernet and Wi-Fi STA failover; cellular variants add 4G; Ethernet has default priority</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Management</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Configuration</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gwTool6 Web console</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Management</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Time synchronization</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SNTP</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Management</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Firmware maintenance</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Web OTA with A/B firmware partitions</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Environment and enclosure</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Protection rating</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IP67</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Environment and enclosure</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Operating temperature</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-20 °C to 60 °C</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Environment and enclosure</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Enclosure dimensions</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164 × 124 × 50 mm; allow installation clearance according to the supplied drawing</w:t>
            </w:r>
          </w:p>
        </w:tc>
      </w:tr>
      <w:tr>
        <w:trPr>
          <w:cantSplit/>
        </w:trPr>
        <w:tc>
          <w:tcPr>
            <w:tcW w:w="20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Environment and enclosure</w:t>
            </w:r>
          </w:p>
        </w:tc>
        <w:tc>
          <w:tcPr>
            <w:tcW w:w="225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Mounting</w:t>
            </w:r>
          </w:p>
        </w:tc>
        <w:tc>
          <w:tcPr>
            <w:tcW w:w="511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Wall or pole</w:t>
            </w:r>
          </w:p>
        </w:tc>
      </w:tr>
    </w:tbl>
    <w:p>
      <w:pPr>
        <w:pStyle w:val="Normal"/>
        <w:spacing w:lineRule="exact" w:line="340" w:before="0" w:after="120"/>
        <w:rPr/>
      </w:pPr>
      <w:r>
        <w:rPr/>
      </w:r>
    </w:p>
    <w:p>
      <w:pPr>
        <w:pStyle w:val="Normal"/>
        <w:spacing w:lineRule="exact" w:line="340" w:before="0" w:after="120"/>
        <w:rPr/>
      </w:pPr>
      <w:r>
        <w:rPr>
          <w:rFonts w:eastAsia="Arial Unicode MS" w:cs="Arial"/>
          <w:color w:val="243442"/>
          <w:sz w:val="21"/>
        </w:rPr>
        <w:t>The radio region must match the hardware, antenna and terminals. Some supplied model codes use US902 for the US915 regional parameters covering 902–928 MHz. Transmit power, sensitivity, power consumption and weight are specified in the delivery specification.</w:t>
      </w:r>
    </w:p>
    <w:p>
      <w:pPr>
        <w:pStyle w:val="Heading1"/>
        <w:spacing w:lineRule="exact" w:line="440" w:before="240" w:after="120"/>
        <w:rPr/>
      </w:pPr>
      <w:bookmarkStart w:id="3" w:name="manual_heading_004"/>
      <w:r>
        <w:rPr>
          <w:rFonts w:eastAsia="Arial Unicode MS" w:cs="Arial" w:ascii="Arial" w:hAnsi="Arial"/>
          <w:color w:val="000000"/>
          <w:sz w:val="32"/>
        </w:rPr>
        <w:t>3. Before Installation</w:t>
      </w:r>
      <w:bookmarkEnd w:id="3"/>
    </w:p>
    <w:p>
      <w:pPr>
        <w:pStyle w:val="Normal"/>
        <w:spacing w:lineRule="exact" w:line="340" w:before="0" w:after="120"/>
        <w:rPr/>
      </w:pPr>
      <w:r>
        <w:rPr>
          <w:rFonts w:eastAsia="Arial Unicode MS" w:cs="Arial"/>
          <w:color w:val="243442"/>
          <w:sz w:val="21"/>
        </w:rPr>
        <w:t>Check the device label, radio region, power requirements and packing list. Prepare a compatible LoRa antenna, power supply, mounting bracket, sealing components and any required Ethernet cable. Cellular backhaul also requires a SIM with an active data plan.</w:t>
      </w:r>
    </w:p>
    <w:p>
      <w:pPr>
        <w:pStyle w:val="ListBullet"/>
        <w:numPr>
          <w:ilvl w:val="0"/>
          <w:numId w:val="1"/>
        </w:numPr>
        <w:spacing w:lineRule="exact" w:line="340" w:before="0" w:after="120"/>
        <w:ind w:hanging="271" w:start="540"/>
        <w:contextualSpacing/>
        <w:rPr/>
      </w:pPr>
      <w:r>
        <w:rPr>
          <w:rFonts w:eastAsia="Arial Unicode MS" w:cs="Arial"/>
          <w:color w:val="243442"/>
          <w:sz w:val="21"/>
        </w:rPr>
        <w:t>Disconnect power before installing antennas, the SIM or power wiring.</w:t>
      </w:r>
    </w:p>
    <w:p>
      <w:pPr>
        <w:pStyle w:val="ListBullet"/>
        <w:numPr>
          <w:ilvl w:val="0"/>
          <w:numId w:val="1"/>
        </w:numPr>
        <w:spacing w:lineRule="exact" w:line="340" w:before="0" w:after="120"/>
        <w:ind w:hanging="271" w:start="540"/>
        <w:contextualSpacing/>
        <w:rPr/>
      </w:pPr>
      <w:r>
        <w:rPr>
          <w:rFonts w:eastAsia="Arial Unicode MS" w:cs="Arial"/>
          <w:color w:val="243442"/>
          <w:sz w:val="21"/>
        </w:rPr>
        <w:t>Connect the LoRa antenna before power-up. Do not start LoRa transmission without an antenna.</w:t>
      </w:r>
    </w:p>
    <w:p>
      <w:pPr>
        <w:pStyle w:val="ListBullet"/>
        <w:numPr>
          <w:ilvl w:val="0"/>
          <w:numId w:val="1"/>
        </w:numPr>
        <w:spacing w:lineRule="exact" w:line="340" w:before="0" w:after="120"/>
        <w:ind w:hanging="271" w:start="540"/>
        <w:contextualSpacing/>
        <w:rPr/>
      </w:pPr>
      <w:r>
        <w:rPr>
          <w:rFonts w:eastAsia="Arial Unicode MS" w:cs="Arial"/>
          <w:color w:val="243442"/>
          <w:sz w:val="21"/>
        </w:rPr>
        <w:t>Choose a secure, accessible location with suitable radio coverage, away from standing water and heat sources.</w:t>
      </w:r>
    </w:p>
    <w:p>
      <w:pPr>
        <w:pStyle w:val="ListBullet"/>
        <w:numPr>
          <w:ilvl w:val="0"/>
          <w:numId w:val="1"/>
        </w:numPr>
        <w:spacing w:lineRule="exact" w:line="340" w:before="0" w:after="120"/>
        <w:ind w:hanging="271" w:start="540"/>
        <w:contextualSpacing/>
        <w:rPr/>
      </w:pPr>
      <w:r>
        <w:rPr>
          <w:rFonts w:eastAsia="Arial Unicode MS" w:cs="Arial"/>
          <w:color w:val="243442"/>
          <w:sz w:val="21"/>
        </w:rPr>
        <w:t>Keep the actual ambient temperature at the installation location within -20 °C to 60 °C.</w:t>
      </w:r>
    </w:p>
    <w:p>
      <w:pPr>
        <w:pStyle w:val="ListBullet"/>
        <w:numPr>
          <w:ilvl w:val="0"/>
          <w:numId w:val="1"/>
        </w:numPr>
        <w:spacing w:lineRule="exact" w:line="340" w:before="0" w:after="120"/>
        <w:ind w:hanging="271" w:start="540"/>
        <w:contextualSpacing/>
        <w:rPr/>
      </w:pPr>
      <w:r>
        <w:rPr>
          <w:rFonts w:eastAsia="Arial Unicode MS" w:cs="Arial"/>
          <w:color w:val="243442"/>
          <w:sz w:val="21"/>
        </w:rPr>
        <w:t>Do not connect multiple power sources unless explicitly permitted by the delivery documentation.</w:t>
      </w:r>
    </w:p>
    <w:p>
      <w:pPr>
        <w:pStyle w:val="ListBullet"/>
        <w:numPr>
          <w:ilvl w:val="0"/>
          <w:numId w:val="1"/>
        </w:numPr>
        <w:spacing w:lineRule="exact" w:line="340" w:before="0" w:after="120"/>
        <w:ind w:hanging="271" w:start="540"/>
        <w:contextualSpacing/>
        <w:rPr/>
      </w:pPr>
      <w:r>
        <w:rPr>
          <w:rFonts w:eastAsia="Arial Unicode MS" w:cs="Arial"/>
          <w:color w:val="243442"/>
          <w:sz w:val="21"/>
        </w:rPr>
        <w:t>Do not disconnect power during firmware updates, configuration writes or factory reset.</w:t>
      </w:r>
    </w:p>
    <w:p>
      <w:pPr>
        <w:pStyle w:val="Heading1"/>
        <w:spacing w:lineRule="exact" w:line="440" w:before="240" w:after="120"/>
        <w:rPr/>
      </w:pPr>
      <w:bookmarkStart w:id="4" w:name="manual_heading_005"/>
      <w:r>
        <w:rPr>
          <w:rFonts w:eastAsia="Arial Unicode MS" w:cs="Arial" w:ascii="Arial" w:hAnsi="Arial"/>
          <w:color w:val="000000"/>
          <w:sz w:val="32"/>
        </w:rPr>
        <w:t>4. Interfaces and Power</w:t>
      </w:r>
      <w:bookmarkEnd w:id="4"/>
    </w:p>
    <w:p>
      <w:pPr>
        <w:pStyle w:val="Normal"/>
        <w:spacing w:lineRule="exact" w:line="340" w:before="0" w:after="120"/>
        <w:rPr/>
      </w:pPr>
      <w:r>
        <w:rPr>
          <w:rFonts w:eastAsia="Arial Unicode MS" w:cs="Arial"/>
          <w:b/>
          <w:color w:val="243442"/>
          <w:sz w:val="21"/>
        </w:rPr>
        <w:t>GD62 has no external REC button.</w:t>
      </w:r>
      <w:r>
        <w:rPr>
          <w:rFonts w:eastAsia="Arial Unicode MS" w:cs="Arial"/>
          <w:color w:val="243442"/>
          <w:sz w:val="21"/>
        </w:rPr>
        <w:t xml:space="preserve"> For factory reset, see the service instructions in Section 9.3.</w:t>
      </w:r>
    </w:p>
    <w:p>
      <w:pPr>
        <w:pStyle w:val="Normal"/>
        <w:spacing w:lineRule="exact" w:line="340" w:before="0" w:after="120"/>
        <w:rPr/>
      </w:pPr>
      <w:r>
        <w:rPr>
          <w:rFonts w:eastAsia="Arial Unicode MS" w:cs="Arial"/>
          <w:color w:val="243442"/>
          <w:sz w:val="21"/>
        </w:rPr>
        <w:t>Available interfaces vary by delivery configuration. Identify each interface by its device label. Keep unconfigured or unused openings sealed with the original components.</w:t>
      </w:r>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Interface or function</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Purpose and precautions</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Connect a LoRa antenna matching the gateway region</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Ethernet</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Connect a switch or router for wired backhaul</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PoE</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Available only on PoE-equipped variants; use a supply matching the delivery specification</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SIM</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Cellular variants only; follow the actual slot markings for card size and orientation</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Wi-Fi / 4G antenna</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Install according to the supplied antenna configuration; positions and antenna types depend on the delivered unit</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Type-C</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Where fitted, supports 5 V power and local maintenance; reseal the service opening after use</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DC input</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Where fitted, supports 5–24 V DC; follow the polarity markings</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A+ / B-</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If present, reserved RS-485 interface; no user application function in the current version</w:t>
            </w:r>
          </w:p>
        </w:tc>
      </w:tr>
    </w:tbl>
    <w:p>
      <w:pPr>
        <w:pStyle w:val="Normal"/>
        <w:spacing w:lineRule="exact" w:line="340" w:before="0" w:after="120"/>
        <w:rPr/>
      </w:pPr>
      <w:r>
        <w:rPr/>
      </w:r>
    </w:p>
    <w:p>
      <w:pPr>
        <w:pStyle w:val="Normal"/>
        <w:spacing w:lineRule="exact" w:line="340" w:before="0" w:after="120"/>
        <w:rPr/>
      </w:pPr>
      <w:r>
        <w:rPr>
          <w:rFonts w:eastAsia="Arial Unicode MS" w:cs="Arial"/>
          <w:color w:val="243442"/>
          <w:sz w:val="21"/>
        </w:rPr>
        <w:t>Before connecting PoE, check its power standard, voltage and wiring requirements. Do not select a power source solely by the port name. Never apply more than 5 V to Type-C or connect power to A+ or B-.</w:t>
      </w:r>
    </w:p>
    <w:p>
      <w:pPr>
        <w:pStyle w:val="Normal"/>
        <w:spacing w:lineRule="exact" w:line="340" w:before="0" w:after="120"/>
        <w:rPr/>
      </w:pPr>
      <w:r>
        <w:rPr>
          <w:rFonts w:eastAsia="Arial Unicode MS" w:cs="Arial"/>
          <w:color w:val="243442"/>
          <w:sz w:val="21"/>
        </w:rPr>
        <w:t>Install PoE injectors and other supplies without a stated outdoor rating in a dry location or suitable protective cabinet.</w:t>
      </w:r>
    </w:p>
    <w:p>
      <w:pPr>
        <w:pStyle w:val="Heading1"/>
        <w:spacing w:lineRule="exact" w:line="440" w:before="240" w:after="120"/>
        <w:rPr/>
      </w:pPr>
      <w:bookmarkStart w:id="5" w:name="manual_heading_006"/>
      <w:r>
        <w:rPr>
          <w:rFonts w:eastAsia="Arial Unicode MS" w:cs="Arial" w:ascii="Arial" w:hAnsi="Arial"/>
          <w:color w:val="000000"/>
          <w:sz w:val="32"/>
        </w:rPr>
        <w:t>5. Installation and Power-Up</w:t>
      </w:r>
      <w:bookmarkEnd w:id="5"/>
    </w:p>
    <w:p>
      <w:pPr>
        <w:pStyle w:val="Heading2"/>
        <w:spacing w:lineRule="exact" w:line="360" w:before="240" w:after="120"/>
        <w:rPr/>
      </w:pPr>
      <w:bookmarkStart w:id="6" w:name="manual_heading_007"/>
      <w:r>
        <w:rPr>
          <w:rFonts w:eastAsia="Arial Unicode MS" w:cs="Arial" w:ascii="Arial" w:hAnsi="Arial"/>
          <w:color w:val="000000"/>
          <w:sz w:val="24"/>
        </w:rPr>
        <w:t>5.1 Mount the Gateway</w:t>
      </w:r>
      <w:bookmarkEnd w:id="6"/>
    </w:p>
    <w:p>
      <w:pPr>
        <w:pStyle w:val="Normal"/>
        <w:spacing w:lineRule="exact" w:line="340" w:before="0" w:after="120"/>
        <w:rPr/>
      </w:pPr>
      <w:r>
        <w:rPr>
          <w:rFonts w:eastAsia="Arial Unicode MS" w:cs="Arial"/>
          <w:color w:val="243442"/>
          <w:sz w:val="21"/>
        </w:rPr>
        <w:t>For wall mounting, mark the supplied bracket holes and use fasteners appropriate for the wall material. For pole mounting, confirm that the pole diameter fits the supplied clamp and tighten the clamp evenly.</w:t>
      </w:r>
    </w:p>
    <w:p>
      <w:pPr>
        <w:pStyle w:val="Normal"/>
        <w:spacing w:lineRule="exact" w:line="340" w:before="0" w:after="120"/>
        <w:rPr/>
      </w:pPr>
      <w:r>
        <w:rPr>
          <w:rFonts w:eastAsia="Arial Unicode MS" w:cs="Arial"/>
          <w:color w:val="243442"/>
          <w:sz w:val="21"/>
        </w:rPr>
        <w:t>Follow the supplied installation drawing for orientation. Allow space for antennas, connectors and cable bends. Provide cable support so that connectors do not carry the cable weight. Do not open the enclosure or modify its seals without authorization.</w:t>
      </w:r>
    </w:p>
    <w:p>
      <w:pPr>
        <w:pStyle w:val="Normal"/>
        <w:keepNext w:val="true"/>
        <w:keepLines/>
        <w:spacing w:lineRule="auto" w:line="240" w:before="80" w:after="40"/>
        <w:jc w:val="center"/>
        <w:rPr/>
      </w:pPr>
      <w:r>
        <w:rPr/>
        <w:drawing>
          <wp:inline distT="0" distB="0" distL="0" distR="0">
            <wp:extent cx="2068195" cy="3657600"/>
            <wp:effectExtent l="0" t="0" r="0" b="0"/>
            <wp:docPr id="3" name="Picture 3" descr="GD62 bracket and backplate mounting illustration" title="GD62 bracket and backplate mounting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D62 bracket and backplate mounting illustration" title="GD62 bracket and backplate mounting illustration"/>
                    <pic:cNvPicPr>
                      <a:picLocks noChangeAspect="1" noChangeArrowheads="1"/>
                    </pic:cNvPicPr>
                  </pic:nvPicPr>
                  <pic:blipFill>
                    <a:blip r:embed="rId4"/>
                    <a:stretch>
                      <a:fillRect/>
                    </a:stretch>
                  </pic:blipFill>
                  <pic:spPr bwMode="auto">
                    <a:xfrm>
                      <a:off x="0" y="0"/>
                      <a:ext cx="2068195" cy="3657600"/>
                    </a:xfrm>
                    <a:prstGeom prst="rect">
                      <a:avLst/>
                    </a:prstGeom>
                    <a:noFill/>
                  </pic:spPr>
                </pic:pic>
              </a:graphicData>
            </a:graphic>
          </wp:inline>
        </w:drawing>
      </w:r>
    </w:p>
    <w:p>
      <w:pPr>
        <w:pStyle w:val="FigureCaption"/>
        <w:spacing w:lineRule="exact" w:line="340" w:before="0" w:after="120"/>
        <w:rPr/>
      </w:pPr>
      <w:r>
        <w:rPr>
          <w:sz w:val="21"/>
        </w:rPr>
        <w:t>Figure  GD62 bracket and backplate mounting illustration</w:t>
      </w:r>
    </w:p>
    <w:p>
      <w:pPr>
        <w:pStyle w:val="Normal"/>
        <w:spacing w:lineRule="exact" w:line="340" w:before="0" w:after="120"/>
        <w:rPr/>
      </w:pPr>
      <w:r>
        <w:rPr>
          <w:rFonts w:eastAsia="Arial Unicode MS" w:cs="Arial"/>
          <w:color w:val="243442"/>
          <w:sz w:val="21"/>
        </w:rPr>
        <w:t>Figure 2: Bracket and backplate assembly. Use the supplied fasteners and installation drawing for wall or pole mounting.</w:t>
      </w:r>
    </w:p>
    <w:p>
      <w:pPr>
        <w:pStyle w:val="Heading2"/>
        <w:spacing w:lineRule="exact" w:line="360" w:before="240" w:after="120"/>
        <w:rPr/>
      </w:pPr>
      <w:bookmarkStart w:id="7" w:name="manual_heading_008"/>
      <w:r>
        <w:rPr>
          <w:rFonts w:eastAsia="Arial Unicode MS" w:cs="Arial" w:ascii="Arial" w:hAnsi="Arial"/>
          <w:color w:val="000000"/>
          <w:sz w:val="24"/>
        </w:rPr>
        <w:t>5.2 Install Antennas and SIM</w:t>
      </w:r>
      <w:bookmarkEnd w:id="7"/>
    </w:p>
    <w:p>
      <w:pPr>
        <w:pStyle w:val="ListNumber"/>
        <w:numPr>
          <w:ilvl w:val="0"/>
          <w:numId w:val="11"/>
        </w:numPr>
        <w:spacing w:lineRule="exact" w:line="340" w:before="0" w:after="120"/>
        <w:ind w:hanging="271" w:start="540"/>
        <w:contextualSpacing/>
        <w:rPr/>
      </w:pPr>
      <w:r>
        <w:rPr>
          <w:rFonts w:eastAsia="Arial Unicode MS" w:cs="Arial"/>
          <w:color w:val="243442"/>
          <w:sz w:val="21"/>
        </w:rPr>
        <w:t>Disconnect power and verify that the LoRa antenna matches the radio band.</w:t>
      </w:r>
    </w:p>
    <w:p>
      <w:pPr>
        <w:pStyle w:val="ListNumber"/>
        <w:numPr>
          <w:ilvl w:val="0"/>
          <w:numId w:val="7"/>
        </w:numPr>
        <w:spacing w:lineRule="exact" w:line="340" w:before="0" w:after="120"/>
        <w:ind w:hanging="271" w:start="540"/>
        <w:contextualSpacing/>
        <w:rPr/>
      </w:pPr>
      <w:r>
        <w:rPr>
          <w:rFonts w:eastAsia="Arial Unicode MS" w:cs="Arial"/>
          <w:color w:val="243442"/>
          <w:sz w:val="21"/>
        </w:rPr>
        <w:t>Attach and tighten the antenna at the corresponding port without forcing or twisting the connector.</w:t>
      </w:r>
    </w:p>
    <w:p>
      <w:pPr>
        <w:pStyle w:val="ListNumber"/>
        <w:numPr>
          <w:ilvl w:val="0"/>
          <w:numId w:val="7"/>
        </w:numPr>
        <w:spacing w:lineRule="exact" w:line="340" w:before="0" w:after="120"/>
        <w:ind w:hanging="271" w:start="540"/>
        <w:contextualSpacing/>
        <w:rPr/>
      </w:pPr>
      <w:r>
        <w:rPr>
          <w:rFonts w:eastAsia="Arial Unicode MS" w:cs="Arial"/>
          <w:color w:val="243442"/>
          <w:sz w:val="21"/>
        </w:rPr>
        <w:t>Where external Wi-Fi or 4G antennas are supplied, connect them to the matching labeled ports.</w:t>
      </w:r>
    </w:p>
    <w:p>
      <w:pPr>
        <w:pStyle w:val="ListNumber"/>
        <w:numPr>
          <w:ilvl w:val="0"/>
          <w:numId w:val="7"/>
        </w:numPr>
        <w:spacing w:lineRule="exact" w:line="340" w:before="0" w:after="120"/>
        <w:ind w:hanging="271" w:start="540"/>
        <w:contextualSpacing/>
        <w:rPr/>
      </w:pPr>
      <w:r>
        <w:rPr>
          <w:rFonts w:eastAsia="Arial Unicode MS" w:cs="Arial"/>
          <w:color w:val="243442"/>
          <w:sz w:val="21"/>
        </w:rPr>
        <w:t>For cellular backhaul, insert the SIM according to the actual slot markings and reinstall the waterproof cover.</w:t>
      </w:r>
    </w:p>
    <w:p>
      <w:pPr>
        <w:pStyle w:val="Heading2"/>
        <w:spacing w:lineRule="exact" w:line="360" w:before="240" w:after="120"/>
        <w:rPr/>
      </w:pPr>
      <w:bookmarkStart w:id="8" w:name="manual_heading_009"/>
      <w:r>
        <w:rPr>
          <w:rFonts w:eastAsia="Arial Unicode MS" w:cs="Arial" w:ascii="Arial" w:hAnsi="Arial"/>
          <w:color w:val="000000"/>
          <w:sz w:val="24"/>
        </w:rPr>
        <w:t>5.3 Connect Ethernet and Power</w:t>
      </w:r>
      <w:bookmarkEnd w:id="8"/>
    </w:p>
    <w:p>
      <w:pPr>
        <w:pStyle w:val="ListNumber"/>
        <w:numPr>
          <w:ilvl w:val="0"/>
          <w:numId w:val="12"/>
        </w:numPr>
        <w:spacing w:lineRule="exact" w:line="340" w:before="0" w:after="120"/>
        <w:ind w:hanging="271" w:start="540"/>
        <w:contextualSpacing/>
        <w:rPr/>
      </w:pPr>
      <w:r>
        <w:rPr>
          <w:rFonts w:eastAsia="Arial Unicode MS" w:cs="Arial"/>
          <w:color w:val="243442"/>
          <w:sz w:val="21"/>
        </w:rPr>
        <w:t>Thread the waterproof connector components onto the cable in the supplied assembly order.</w:t>
      </w:r>
    </w:p>
    <w:p>
      <w:pPr>
        <w:pStyle w:val="ListNumber"/>
        <w:numPr>
          <w:ilvl w:val="0"/>
          <w:numId w:val="7"/>
        </w:numPr>
        <w:spacing w:lineRule="exact" w:line="340" w:before="0" w:after="120"/>
        <w:ind w:hanging="271" w:start="540"/>
        <w:contextualSpacing/>
        <w:rPr/>
      </w:pPr>
      <w:r>
        <w:rPr>
          <w:rFonts w:eastAsia="Arial Unicode MS" w:cs="Arial"/>
          <w:color w:val="243442"/>
          <w:sz w:val="21"/>
        </w:rPr>
        <w:t>Insert the RJ45 plug, then fit the seals and tighten the waterproof connector.</w:t>
      </w:r>
    </w:p>
    <w:p>
      <w:pPr>
        <w:pStyle w:val="ListNumber"/>
        <w:numPr>
          <w:ilvl w:val="0"/>
          <w:numId w:val="7"/>
        </w:numPr>
        <w:spacing w:lineRule="exact" w:line="340" w:before="0" w:after="120"/>
        <w:ind w:hanging="271" w:start="540"/>
        <w:contextualSpacing/>
        <w:rPr/>
      </w:pPr>
      <w:r>
        <w:rPr>
          <w:rFonts w:eastAsia="Arial Unicode MS" w:cs="Arial"/>
          <w:color w:val="243442"/>
          <w:sz w:val="21"/>
        </w:rPr>
        <w:t>For PoE, connect the compatible supply output to the gateway and connect its data input according to the site network plan.</w:t>
      </w:r>
    </w:p>
    <w:p>
      <w:pPr>
        <w:pStyle w:val="ListNumber"/>
        <w:numPr>
          <w:ilvl w:val="0"/>
          <w:numId w:val="7"/>
        </w:numPr>
        <w:spacing w:lineRule="exact" w:line="340" w:before="0" w:after="120"/>
        <w:ind w:hanging="271" w:start="540"/>
        <w:contextualSpacing/>
        <w:rPr/>
      </w:pPr>
      <w:r>
        <w:rPr>
          <w:rFonts w:eastAsia="Arial Unicode MS" w:cs="Arial"/>
          <w:color w:val="243442"/>
          <w:sz w:val="21"/>
        </w:rPr>
        <w:t>For separate DC or Type-C power, confirm the permitted input and polarity for the variant and seal the power entry.</w:t>
      </w:r>
    </w:p>
    <w:p>
      <w:pPr>
        <w:pStyle w:val="ListNumber"/>
        <w:numPr>
          <w:ilvl w:val="0"/>
          <w:numId w:val="7"/>
        </w:numPr>
        <w:spacing w:lineRule="exact" w:line="340" w:before="0" w:after="120"/>
        <w:ind w:hanging="271" w:start="540"/>
        <w:contextualSpacing/>
        <w:rPr/>
      </w:pPr>
      <w:r>
        <w:rPr>
          <w:rFonts w:eastAsia="Arial Unicode MS" w:cs="Arial"/>
          <w:color w:val="243442"/>
          <w:sz w:val="21"/>
        </w:rPr>
        <w:t>Complete the sealing checks, apply power and allow the system to start.</w:t>
      </w:r>
    </w:p>
    <w:p>
      <w:pPr>
        <w:pStyle w:val="Normal"/>
        <w:keepNext w:val="true"/>
        <w:keepLines/>
        <w:spacing w:lineRule="auto" w:line="240" w:before="80" w:after="40"/>
        <w:jc w:val="center"/>
        <w:rPr/>
      </w:pPr>
      <w:r>
        <w:rPr/>
        <w:drawing>
          <wp:inline distT="0" distB="0" distL="0" distR="0">
            <wp:extent cx="5532120" cy="1844040"/>
            <wp:effectExtent l="0" t="0" r="0" b="0"/>
            <wp:docPr id="4" name="Picture 4" descr="GD62 Ethernet cable sealing assembly illustration" title="GD62 Ethernet cable sealing assembly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D62 Ethernet cable sealing assembly illustration" title="GD62 Ethernet cable sealing assembly illustration"/>
                    <pic:cNvPicPr>
                      <a:picLocks noChangeAspect="1" noChangeArrowheads="1"/>
                    </pic:cNvPicPr>
                  </pic:nvPicPr>
                  <pic:blipFill>
                    <a:blip r:embed="rId5"/>
                    <a:stretch>
                      <a:fillRect/>
                    </a:stretch>
                  </pic:blipFill>
                  <pic:spPr bwMode="auto">
                    <a:xfrm>
                      <a:off x="0" y="0"/>
                      <a:ext cx="5532120" cy="1844040"/>
                    </a:xfrm>
                    <a:prstGeom prst="rect">
                      <a:avLst/>
                    </a:prstGeom>
                    <a:noFill/>
                  </pic:spPr>
                </pic:pic>
              </a:graphicData>
            </a:graphic>
          </wp:inline>
        </w:drawing>
      </w:r>
    </w:p>
    <w:p>
      <w:pPr>
        <w:pStyle w:val="FigureCaption"/>
        <w:spacing w:lineRule="exact" w:line="340" w:before="0" w:after="120"/>
        <w:rPr/>
      </w:pPr>
      <w:r>
        <w:rPr>
          <w:sz w:val="21"/>
        </w:rPr>
        <w:t>Figure  GD62 Ethernet cable sealing assembly illustration</w:t>
      </w:r>
    </w:p>
    <w:p>
      <w:pPr>
        <w:pStyle w:val="Normal"/>
        <w:spacing w:lineRule="exact" w:line="340" w:before="0" w:after="120"/>
        <w:rPr/>
      </w:pPr>
      <w:r>
        <w:rPr>
          <w:rFonts w:eastAsia="Arial Unicode MS" w:cs="Arial"/>
          <w:color w:val="243442"/>
          <w:sz w:val="21"/>
        </w:rPr>
        <w:t>Figure 3: Ethernet cable sealing assembly. Fit and tighten the supplied sealing parts in order, ensuring that the seal matches the cable diameter.</w:t>
      </w:r>
    </w:p>
    <w:p>
      <w:pPr>
        <w:pStyle w:val="Heading2"/>
        <w:spacing w:lineRule="exact" w:line="360" w:before="240" w:after="120"/>
        <w:rPr/>
      </w:pPr>
      <w:bookmarkStart w:id="9" w:name="manual_heading_010"/>
      <w:r>
        <w:rPr>
          <w:rFonts w:eastAsia="Arial Unicode MS" w:cs="Arial" w:ascii="Arial" w:hAnsi="Arial"/>
          <w:color w:val="000000"/>
          <w:sz w:val="24"/>
        </w:rPr>
        <w:t>5.4 Sealing Checks</w:t>
      </w:r>
      <w:bookmarkEnd w:id="9"/>
    </w:p>
    <w:p>
      <w:pPr>
        <w:pStyle w:val="ListBullet"/>
        <w:numPr>
          <w:ilvl w:val="0"/>
          <w:numId w:val="1"/>
        </w:numPr>
        <w:spacing w:lineRule="exact" w:line="340" w:before="0" w:after="120"/>
        <w:ind w:hanging="271" w:start="540"/>
        <w:contextualSpacing/>
        <w:rPr/>
      </w:pPr>
      <w:r>
        <w:rPr>
          <w:rFonts w:eastAsia="Arial Unicode MS" w:cs="Arial"/>
          <w:color w:val="243442"/>
          <w:sz w:val="21"/>
        </w:rPr>
        <w:t>Seals are present, correctly seated and free from pinching or visible aging.</w:t>
      </w:r>
    </w:p>
    <w:p>
      <w:pPr>
        <w:pStyle w:val="ListBullet"/>
        <w:numPr>
          <w:ilvl w:val="0"/>
          <w:numId w:val="1"/>
        </w:numPr>
        <w:spacing w:lineRule="exact" w:line="340" w:before="0" w:after="120"/>
        <w:ind w:hanging="271" w:start="540"/>
        <w:contextualSpacing/>
        <w:rPr/>
      </w:pPr>
      <w:r>
        <w:rPr>
          <w:rFonts w:eastAsia="Arial Unicode MS" w:cs="Arial"/>
          <w:color w:val="243442"/>
          <w:sz w:val="21"/>
        </w:rPr>
        <w:t>Waterproof connectors fit the cable diameter and cable entries are secure.</w:t>
      </w:r>
    </w:p>
    <w:p>
      <w:pPr>
        <w:pStyle w:val="ListBullet"/>
        <w:numPr>
          <w:ilvl w:val="0"/>
          <w:numId w:val="1"/>
        </w:numPr>
        <w:spacing w:lineRule="exact" w:line="340" w:before="0" w:after="120"/>
        <w:ind w:hanging="271" w:start="540"/>
        <w:contextualSpacing/>
        <w:rPr/>
      </w:pPr>
      <w:r>
        <w:rPr>
          <w:rFonts w:eastAsia="Arial Unicode MS" w:cs="Arial"/>
          <w:color w:val="243442"/>
          <w:sz w:val="21"/>
        </w:rPr>
        <w:t>Antenna connections and service openings are sealed; original waterproof caps are installed on unused ports.</w:t>
      </w:r>
    </w:p>
    <w:p>
      <w:pPr>
        <w:pStyle w:val="ListBullet"/>
        <w:numPr>
          <w:ilvl w:val="0"/>
          <w:numId w:val="1"/>
        </w:numPr>
        <w:spacing w:lineRule="exact" w:line="340" w:before="0" w:after="120"/>
        <w:ind w:hanging="271" w:start="540"/>
        <w:contextualSpacing/>
        <w:rPr/>
      </w:pPr>
      <w:r>
        <w:rPr>
          <w:rFonts w:eastAsia="Arial Unicode MS" w:cs="Arial"/>
          <w:color w:val="243442"/>
          <w:sz w:val="21"/>
        </w:rPr>
        <w:t>Cables have drip loops to prevent water from running toward the connectors.</w:t>
      </w:r>
    </w:p>
    <w:p>
      <w:pPr>
        <w:pStyle w:val="ListBullet"/>
        <w:numPr>
          <w:ilvl w:val="0"/>
          <w:numId w:val="1"/>
        </w:numPr>
        <w:spacing w:lineRule="exact" w:line="340" w:before="0" w:after="120"/>
        <w:ind w:hanging="271" w:start="540"/>
        <w:contextualSpacing/>
        <w:rPr/>
      </w:pPr>
      <w:r>
        <w:rPr>
          <w:rFonts w:eastAsia="Arial Unicode MS" w:cs="Arial"/>
          <w:color w:val="243442"/>
          <w:sz w:val="21"/>
        </w:rPr>
        <w:t>Brackets and fasteners are secure, with no abnormal strain on cables or connectors.</w:t>
      </w:r>
    </w:p>
    <w:p>
      <w:pPr>
        <w:pStyle w:val="Normal"/>
        <w:spacing w:lineRule="exact" w:line="340" w:before="0" w:after="120"/>
        <w:rPr/>
      </w:pPr>
      <w:r>
        <w:rPr>
          <w:rFonts w:eastAsia="Arial Unicode MS" w:cs="Arial"/>
          <w:color w:val="243442"/>
          <w:sz w:val="21"/>
        </w:rPr>
        <w:t>IP67 protection requires an intact enclosure and correctly assembled seals and connectors. The device is not intended for continuous immersion. Do not direct high-pressure water at the interfaces.</w:t>
      </w:r>
    </w:p>
    <w:p>
      <w:pPr>
        <w:pStyle w:val="Heading1"/>
        <w:spacing w:lineRule="exact" w:line="440" w:before="240" w:after="120"/>
        <w:rPr/>
      </w:pPr>
      <w:bookmarkStart w:id="10" w:name="manual_heading_011"/>
      <w:r>
        <w:rPr>
          <w:rFonts w:eastAsia="Arial Unicode MS" w:cs="Arial" w:ascii="Arial" w:hAnsi="Arial"/>
          <w:color w:val="000000"/>
          <w:sz w:val="32"/>
        </w:rPr>
        <w:t>6. First Login</w:t>
      </w:r>
      <w:bookmarkEnd w:id="10"/>
    </w:p>
    <w:p>
      <w:pPr>
        <w:pStyle w:val="Heading2"/>
        <w:spacing w:lineRule="exact" w:line="360" w:before="240" w:after="120"/>
        <w:rPr/>
      </w:pPr>
      <w:bookmarkStart w:id="11" w:name="manual_heading_012"/>
      <w:r>
        <w:rPr>
          <w:rFonts w:eastAsia="Arial Unicode MS" w:cs="Arial" w:ascii="Arial" w:hAnsi="Arial"/>
          <w:color w:val="000000"/>
          <w:sz w:val="24"/>
        </w:rPr>
        <w:t>6.1 Access over Ethernet</w:t>
      </w:r>
      <w:bookmarkEnd w:id="11"/>
    </w:p>
    <w:p>
      <w:pPr>
        <w:pStyle w:val="Normal"/>
        <w:spacing w:lineRule="exact" w:line="340" w:before="0" w:after="120"/>
        <w:rPr/>
      </w:pPr>
      <w:r>
        <w:rPr>
          <w:rFonts w:eastAsia="Arial Unicode MS" w:cs="Arial"/>
          <w:color w:val="243442"/>
          <w:sz w:val="21"/>
        </w:rPr>
        <w:t xml:space="preserve">The gateway can obtain an address through DHCP by default. Find the assigned IP address in the router or DHCP server, then open </w:t>
      </w:r>
      <w:r>
        <w:rPr>
          <w:rFonts w:eastAsia="Arial Unicode MS" w:cs="Menlo"/>
          <w:color w:val="18324A"/>
          <w:sz w:val="21"/>
        </w:rPr>
        <w:t>http://&lt;gateway-IP-address&gt;</w:t>
      </w:r>
      <w:r>
        <w:rPr>
          <w:rFonts w:eastAsia="Arial Unicode MS" w:cs="Arial"/>
          <w:color w:val="243442"/>
          <w:sz w:val="21"/>
        </w:rPr>
        <w:t xml:space="preserve"> from the same network.</w:t>
      </w:r>
    </w:p>
    <w:p>
      <w:pPr>
        <w:pStyle w:val="Heading2"/>
        <w:spacing w:lineRule="exact" w:line="360" w:before="240" w:after="120"/>
        <w:rPr/>
      </w:pPr>
      <w:bookmarkStart w:id="12" w:name="manual_heading_013"/>
      <w:r>
        <w:rPr>
          <w:rFonts w:eastAsia="Arial Unicode MS" w:cs="Arial" w:ascii="Arial" w:hAnsi="Arial"/>
          <w:color w:val="000000"/>
          <w:sz w:val="24"/>
        </w:rPr>
        <w:t>6.2 Access over Wi-Fi AP</w:t>
      </w:r>
      <w:bookmarkEnd w:id="12"/>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Item</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Factory default</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AP name</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GD6-&lt;Gateway EUI&gt;</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AP password</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wifi!0804</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Management address</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http://192.168.4.1</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Web login password</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wifi!0804</w:t>
            </w:r>
          </w:p>
        </w:tc>
      </w:tr>
    </w:tbl>
    <w:p>
      <w:pPr>
        <w:pStyle w:val="Normal"/>
        <w:spacing w:lineRule="exact" w:line="340" w:before="0" w:after="120"/>
        <w:rPr/>
      </w:pPr>
      <w:r>
        <w:rPr/>
      </w:r>
    </w:p>
    <w:p>
      <w:pPr>
        <w:pStyle w:val="Normal"/>
        <w:spacing w:lineRule="exact" w:line="340" w:before="0" w:after="120"/>
        <w:rPr/>
      </w:pPr>
      <w:r>
        <w:rPr>
          <w:rFonts w:eastAsia="Arial Unicode MS" w:cs="Arial"/>
          <w:color w:val="243442"/>
          <w:sz w:val="21"/>
        </w:rPr>
        <w:t xml:space="preserve">Connect to the configuration AP, open the management address and log in. The SSID falls back to </w:t>
      </w:r>
      <w:r>
        <w:rPr>
          <w:rFonts w:eastAsia="Arial Unicode MS" w:cs="Menlo"/>
          <w:color w:val="18324A"/>
          <w:sz w:val="21"/>
        </w:rPr>
        <w:t>LGW-Config</w:t>
      </w:r>
      <w:r>
        <w:rPr>
          <w:rFonts w:eastAsia="Arial Unicode MS" w:cs="Arial"/>
          <w:color w:val="243442"/>
          <w:sz w:val="21"/>
        </w:rPr>
        <w:t xml:space="preserve"> only when a valid Gateway EUI is unavailable. If commissioning staff have changed these settings, use the delivery record.</w:t>
      </w:r>
    </w:p>
    <w:p>
      <w:pPr>
        <w:pStyle w:val="Normal"/>
        <w:spacing w:lineRule="exact" w:line="340" w:before="0" w:after="120"/>
        <w:rPr/>
      </w:pPr>
      <w:r>
        <w:rPr>
          <w:rFonts w:eastAsia="Arial Unicode MS" w:cs="Arial"/>
          <w:color w:val="243442"/>
          <w:sz w:val="21"/>
        </w:rPr>
        <w:t>Change the Web and AP passwords after first login. They are managed independently. Changing AP settings may disconnect the current session; reconnect with the new settings.</w:t>
      </w:r>
    </w:p>
    <w:p>
      <w:pPr>
        <w:pStyle w:val="Heading1"/>
        <w:spacing w:lineRule="exact" w:line="440" w:before="240" w:after="120"/>
        <w:rPr/>
      </w:pPr>
      <w:bookmarkStart w:id="13" w:name="manual_heading_014"/>
      <w:r>
        <w:rPr>
          <w:rFonts w:eastAsia="Arial Unicode MS" w:cs="Arial" w:ascii="Arial" w:hAnsi="Arial"/>
          <w:color w:val="000000"/>
          <w:sz w:val="32"/>
        </w:rPr>
        <w:t>7. Configure Backhaul</w:t>
      </w:r>
      <w:bookmarkEnd w:id="13"/>
    </w:p>
    <w:p>
      <w:pPr>
        <w:pStyle w:val="Heading2"/>
        <w:spacing w:lineRule="exact" w:line="360" w:before="240" w:after="120"/>
        <w:rPr/>
      </w:pPr>
      <w:bookmarkStart w:id="14" w:name="manual_heading_015"/>
      <w:r>
        <w:rPr>
          <w:rFonts w:eastAsia="Arial Unicode MS" w:cs="Arial" w:ascii="Arial" w:hAnsi="Arial"/>
          <w:color w:val="000000"/>
          <w:sz w:val="24"/>
        </w:rPr>
        <w:t>7.1 Ethernet</w:t>
      </w:r>
      <w:bookmarkEnd w:id="14"/>
    </w:p>
    <w:p>
      <w:pPr>
        <w:pStyle w:val="Normal"/>
        <w:spacing w:lineRule="exact" w:line="340" w:before="0" w:after="120"/>
        <w:rPr/>
      </w:pPr>
      <w:r>
        <w:rPr>
          <w:rFonts w:eastAsia="Arial Unicode MS" w:cs="Arial"/>
          <w:color w:val="243442"/>
          <w:sz w:val="21"/>
        </w:rPr>
        <w:t>Open the Ethernet page and select DHCP or enter a static IP, subnet mask, gateway and DNS. After saving a static address, confirm that an alternative management link is available, then reboot to activate the new address.</w:t>
      </w:r>
    </w:p>
    <w:p>
      <w:pPr>
        <w:pStyle w:val="Normal"/>
        <w:spacing w:lineRule="exact" w:line="340" w:before="0" w:after="120"/>
        <w:rPr/>
      </w:pPr>
      <w:r>
        <w:rPr>
          <w:rFonts w:eastAsia="Arial Unicode MS" w:cs="Arial"/>
          <w:color w:val="243442"/>
          <w:sz w:val="21"/>
        </w:rPr>
        <w:t>The Ethernet controller power setting does not provide external PoE output. Disabling the interface interrupts its management and data connections.</w:t>
      </w:r>
    </w:p>
    <w:p>
      <w:pPr>
        <w:pStyle w:val="Heading2"/>
        <w:spacing w:lineRule="exact" w:line="360" w:before="240" w:after="120"/>
        <w:rPr/>
      </w:pPr>
      <w:bookmarkStart w:id="15" w:name="manual_heading_016"/>
      <w:r>
        <w:rPr>
          <w:rFonts w:eastAsia="Arial Unicode MS" w:cs="Arial" w:ascii="Arial" w:hAnsi="Arial"/>
          <w:color w:val="000000"/>
          <w:sz w:val="24"/>
        </w:rPr>
        <w:t>7.2 Wi-Fi STA</w:t>
      </w:r>
      <w:bookmarkEnd w:id="15"/>
    </w:p>
    <w:p>
      <w:pPr>
        <w:pStyle w:val="Normal"/>
        <w:spacing w:lineRule="exact" w:line="340" w:before="0" w:after="120"/>
        <w:rPr/>
      </w:pPr>
      <w:r>
        <w:rPr>
          <w:rFonts w:eastAsia="Arial Unicode MS" w:cs="Arial"/>
          <w:color w:val="243442"/>
          <w:sz w:val="21"/>
        </w:rPr>
        <w:t>On the Wi-Fi page, scan for the site's 2.4 GHz network, enter its password, save and confirm that a valid IP address is obtained. Disabling Wi-Fi affects both the AP and STA; prepare an alternative management link first.</w:t>
      </w:r>
    </w:p>
    <w:p>
      <w:pPr>
        <w:pStyle w:val="Heading2"/>
        <w:spacing w:lineRule="exact" w:line="360" w:before="240" w:after="120"/>
        <w:rPr/>
      </w:pPr>
      <w:bookmarkStart w:id="16" w:name="manual_heading_017"/>
      <w:r>
        <w:rPr>
          <w:rFonts w:eastAsia="Arial Unicode MS" w:cs="Arial" w:ascii="Arial" w:hAnsi="Arial"/>
          <w:color w:val="000000"/>
          <w:sz w:val="24"/>
        </w:rPr>
        <w:t>7.3 4G</w:t>
      </w:r>
      <w:bookmarkEnd w:id="16"/>
    </w:p>
    <w:p>
      <w:pPr>
        <w:pStyle w:val="Normal"/>
        <w:spacing w:lineRule="exact" w:line="340" w:before="0" w:after="120"/>
        <w:rPr/>
      </w:pPr>
      <w:r>
        <w:rPr>
          <w:rFonts w:eastAsia="Arial Unicode MS" w:cs="Arial"/>
          <w:color w:val="243442"/>
          <w:sz w:val="21"/>
        </w:rPr>
        <w:t>On cellular variants, insert the SIM and enable the module on the cellular page. Configure the APN as required by the operator. Enter the correct PIN if the SIM requires one. Keep serial settings consistent with the supplied module. After saving, check network registration, signal and the assigned data connection address.</w:t>
      </w:r>
    </w:p>
    <w:p>
      <w:pPr>
        <w:pStyle w:val="Heading1"/>
        <w:spacing w:lineRule="exact" w:line="440" w:before="240" w:after="120"/>
        <w:rPr/>
      </w:pPr>
      <w:bookmarkStart w:id="17" w:name="manual_heading_018"/>
      <w:r>
        <w:rPr>
          <w:rFonts w:eastAsia="Arial Unicode MS" w:cs="Arial" w:ascii="Arial" w:hAnsi="Arial"/>
          <w:color w:val="000000"/>
          <w:sz w:val="32"/>
        </w:rPr>
        <w:t>8. Connect to a LoRaWAN Platform</w:t>
      </w:r>
      <w:bookmarkEnd w:id="17"/>
    </w:p>
    <w:p>
      <w:pPr>
        <w:pStyle w:val="ListNumber"/>
        <w:numPr>
          <w:ilvl w:val="0"/>
          <w:numId w:val="13"/>
        </w:numPr>
        <w:spacing w:lineRule="exact" w:line="340" w:before="0" w:after="120"/>
        <w:ind w:hanging="271" w:start="540"/>
        <w:contextualSpacing/>
        <w:rPr/>
      </w:pPr>
      <w:r>
        <w:rPr>
          <w:rFonts w:eastAsia="Arial Unicode MS" w:cs="Arial"/>
          <w:color w:val="243442"/>
          <w:sz w:val="21"/>
        </w:rPr>
        <w:t>Create the gateway on the target platform using the device's Gateway EUI.</w:t>
      </w:r>
    </w:p>
    <w:p>
      <w:pPr>
        <w:pStyle w:val="ListNumber"/>
        <w:numPr>
          <w:ilvl w:val="0"/>
          <w:numId w:val="7"/>
        </w:numPr>
        <w:spacing w:lineRule="exact" w:line="340" w:before="0" w:after="120"/>
        <w:ind w:hanging="271" w:start="540"/>
        <w:contextualSpacing/>
        <w:rPr/>
      </w:pPr>
      <w:r>
        <w:rPr>
          <w:rFonts w:eastAsia="Arial Unicode MS" w:cs="Arial"/>
          <w:color w:val="243442"/>
          <w:sz w:val="21"/>
        </w:rPr>
        <w:t>Open LoRaWAN NS in gwTool6 and select the provider and protocol.</w:t>
      </w:r>
    </w:p>
    <w:p>
      <w:pPr>
        <w:pStyle w:val="ListNumber"/>
        <w:numPr>
          <w:ilvl w:val="0"/>
          <w:numId w:val="7"/>
        </w:numPr>
        <w:spacing w:lineRule="exact" w:line="340" w:before="0" w:after="120"/>
        <w:ind w:hanging="271" w:start="540"/>
        <w:contextualSpacing/>
        <w:rPr/>
      </w:pPr>
      <w:r>
        <w:rPr>
          <w:rFonts w:eastAsia="Arial Unicode MS" w:cs="Arial"/>
          <w:color w:val="243442"/>
          <w:sz w:val="21"/>
        </w:rPr>
        <w:t>Enter the platform's server address, ports and authentication material.</w:t>
      </w:r>
    </w:p>
    <w:p>
      <w:pPr>
        <w:pStyle w:val="ListNumber"/>
        <w:numPr>
          <w:ilvl w:val="0"/>
          <w:numId w:val="7"/>
        </w:numPr>
        <w:spacing w:lineRule="exact" w:line="340" w:before="0" w:after="120"/>
        <w:ind w:hanging="271" w:start="540"/>
        <w:contextualSpacing/>
        <w:rPr/>
      </w:pPr>
      <w:r>
        <w:rPr>
          <w:rFonts w:eastAsia="Arial Unicode MS" w:cs="Arial"/>
          <w:color w:val="243442"/>
          <w:sz w:val="21"/>
        </w:rPr>
        <w:t>Match the platform channel plan, terminal frequencies and gateway region.</w:t>
      </w:r>
    </w:p>
    <w:p>
      <w:pPr>
        <w:pStyle w:val="ListNumber"/>
        <w:numPr>
          <w:ilvl w:val="0"/>
          <w:numId w:val="7"/>
        </w:numPr>
        <w:spacing w:lineRule="exact" w:line="340" w:before="0" w:after="120"/>
        <w:ind w:hanging="271" w:start="540"/>
        <w:contextualSpacing/>
        <w:rPr/>
      </w:pPr>
      <w:r>
        <w:rPr>
          <w:rFonts w:eastAsia="Arial Unicode MS" w:cs="Arial"/>
          <w:color w:val="243442"/>
          <w:sz w:val="21"/>
        </w:rPr>
        <w:t>Save and apply, wait for forwarding to resume and confirm that the gateway is online.</w:t>
      </w:r>
    </w:p>
    <w:p>
      <w:pPr>
        <w:pStyle w:val="ListNumber"/>
        <w:numPr>
          <w:ilvl w:val="0"/>
          <w:numId w:val="7"/>
        </w:numPr>
        <w:spacing w:lineRule="exact" w:line="340" w:before="0" w:after="120"/>
        <w:ind w:hanging="271" w:start="540"/>
        <w:contextualSpacing/>
        <w:rPr/>
      </w:pPr>
      <w:r>
        <w:rPr>
          <w:rFonts w:eastAsia="Arial Unicode MS" w:cs="Arial"/>
          <w:color w:val="243442"/>
          <w:sz w:val="21"/>
        </w:rPr>
        <w:t>Send traffic from a registered terminal and verify uplinks on the platform. Verify downlinks when required by the application.</w:t>
      </w:r>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Connection method</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Main settings</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Semtech UDP</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Server address, uplink port and downlink port</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ThinkLink MQTT</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Broker URI, Client ID, credentials, topics and TLS settings</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Basic Station LNS</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LNS address, trust certificate and platform authentication material</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Basic Station CUPS</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CUPS address and corresponding authentication material</w:t>
            </w:r>
          </w:p>
        </w:tc>
      </w:tr>
    </w:tbl>
    <w:p>
      <w:pPr>
        <w:pStyle w:val="Normal"/>
        <w:spacing w:lineRule="exact" w:line="340" w:before="0" w:after="120"/>
        <w:rPr/>
      </w:pPr>
      <w:r>
        <w:rPr/>
      </w:r>
    </w:p>
    <w:p>
      <w:pPr>
        <w:pStyle w:val="Normal"/>
        <w:spacing w:lineRule="exact" w:line="340" w:before="0" w:after="120"/>
        <w:rPr/>
      </w:pPr>
      <w:r>
        <w:rPr>
          <w:rFonts w:eastAsia="Arial Unicode MS" w:cs="Arial"/>
          <w:color w:val="243442"/>
          <w:sz w:val="21"/>
        </w:rPr>
        <w:t xml:space="preserve">Basic Station LNS uses a </w:t>
      </w:r>
      <w:r>
        <w:rPr>
          <w:rFonts w:eastAsia="Arial Unicode MS" w:cs="Menlo"/>
          <w:color w:val="18324A"/>
          <w:sz w:val="21"/>
        </w:rPr>
        <w:t>wss://</w:t>
      </w:r>
      <w:r>
        <w:rPr>
          <w:rFonts w:eastAsia="Arial Unicode MS" w:cs="Arial"/>
          <w:color w:val="243442"/>
          <w:sz w:val="21"/>
        </w:rPr>
        <w:t xml:space="preserve"> address; CUPS uses </w:t>
      </w:r>
      <w:r>
        <w:rPr>
          <w:rFonts w:eastAsia="Arial Unicode MS" w:cs="Menlo"/>
          <w:color w:val="18324A"/>
          <w:sz w:val="21"/>
        </w:rPr>
        <w:t>https://</w:t>
      </w:r>
      <w:r>
        <w:rPr>
          <w:rFonts w:eastAsia="Arial Unicode MS" w:cs="Arial"/>
          <w:color w:val="243442"/>
          <w:sz w:val="21"/>
        </w:rPr>
        <w:t>. Configure LoRaWAN data transport separately from the remote-configuration MQTT connection.</w:t>
      </w:r>
    </w:p>
    <w:p>
      <w:pPr>
        <w:pStyle w:val="Normal"/>
        <w:spacing w:lineRule="exact" w:line="340" w:before="0" w:after="120"/>
        <w:rPr/>
      </w:pPr>
      <w:r>
        <w:rPr>
          <w:rFonts w:eastAsia="Arial Unicode MS" w:cs="Arial"/>
          <w:color w:val="243442"/>
          <w:sz w:val="21"/>
        </w:rPr>
        <w:t>Basic Station and Packet Forwarder are mutually exclusive. Switching drivers briefly interrupts forwarding. Basic Station uses the channel plan supplied by the server; local radio settings apply to Packet Forwarder. Software settings cannot convert hardware to a different radio band.</w:t>
      </w:r>
    </w:p>
    <w:p>
      <w:pPr>
        <w:pStyle w:val="Heading1"/>
        <w:spacing w:lineRule="exact" w:line="440" w:before="240" w:after="120"/>
        <w:rPr/>
      </w:pPr>
      <w:bookmarkStart w:id="18" w:name="manual_heading_019"/>
      <w:r>
        <w:rPr>
          <w:rFonts w:eastAsia="Arial Unicode MS" w:cs="Arial" w:ascii="Arial" w:hAnsi="Arial"/>
          <w:color w:val="000000"/>
          <w:sz w:val="32"/>
        </w:rPr>
        <w:t>9. Maintenance and Recovery</w:t>
      </w:r>
      <w:bookmarkEnd w:id="18"/>
    </w:p>
    <w:p>
      <w:pPr>
        <w:pStyle w:val="Heading2"/>
        <w:spacing w:lineRule="exact" w:line="360" w:before="240" w:after="120"/>
        <w:rPr/>
      </w:pPr>
      <w:bookmarkStart w:id="19" w:name="manual_heading_020"/>
      <w:r>
        <w:rPr>
          <w:rFonts w:eastAsia="Arial Unicode MS" w:cs="Arial" w:ascii="Arial" w:hAnsi="Arial"/>
          <w:color w:val="000000"/>
          <w:sz w:val="24"/>
        </w:rPr>
        <w:t>9.1 Routine Maintenance</w:t>
      </w:r>
      <w:bookmarkEnd w:id="19"/>
    </w:p>
    <w:p>
      <w:pPr>
        <w:pStyle w:val="Normal"/>
        <w:spacing w:lineRule="exact" w:line="340" w:before="0" w:after="120"/>
        <w:rPr/>
      </w:pPr>
      <w:r>
        <w:rPr>
          <w:rFonts w:eastAsia="Arial Unicode MS" w:cs="Arial"/>
          <w:color w:val="243442"/>
          <w:sz w:val="21"/>
        </w:rPr>
        <w:t>Check platform connectivity, backhaul, logs and terminal traffic. Inspect brackets, cables and seals periodically, and address looseness, aging or damage. If water ingress is found, disconnect power and arrange service. Restore sealing before returning the gateway to operation.</w:t>
      </w:r>
    </w:p>
    <w:p>
      <w:pPr>
        <w:pStyle w:val="Heading2"/>
        <w:spacing w:lineRule="exact" w:line="360" w:before="240" w:after="120"/>
        <w:rPr/>
      </w:pPr>
      <w:bookmarkStart w:id="20" w:name="manual_heading_021"/>
      <w:r>
        <w:rPr>
          <w:rFonts w:eastAsia="Arial Unicode MS" w:cs="Arial" w:ascii="Arial" w:hAnsi="Arial"/>
          <w:color w:val="000000"/>
          <w:sz w:val="24"/>
        </w:rPr>
        <w:t>9.2 Firmware Update</w:t>
      </w:r>
      <w:bookmarkEnd w:id="20"/>
    </w:p>
    <w:p>
      <w:pPr>
        <w:pStyle w:val="Normal"/>
        <w:spacing w:lineRule="exact" w:line="340" w:before="0" w:after="120"/>
        <w:rPr/>
      </w:pPr>
      <w:r>
        <w:rPr>
          <w:rFonts w:eastAsia="Arial Unicode MS" w:cs="Arial"/>
          <w:color w:val="243442"/>
          <w:sz w:val="21"/>
        </w:rPr>
        <w:t xml:space="preserve">Record network and platform settings before updating. Confirm the device model, hardware revision, region and firmware compatibility. Upload the matching </w:t>
      </w:r>
      <w:r>
        <w:rPr>
          <w:rFonts w:eastAsia="Arial Unicode MS" w:cs="Menlo"/>
          <w:color w:val="18324A"/>
          <w:sz w:val="21"/>
        </w:rPr>
        <w:t>.bin</w:t>
      </w:r>
      <w:r>
        <w:rPr>
          <w:rFonts w:eastAsia="Arial Unicode MS" w:cs="Arial"/>
          <w:color w:val="243442"/>
          <w:sz w:val="21"/>
        </w:rPr>
        <w:t xml:space="preserve"> through Web OTA, wait for validation, writing and reboot, then verify the version and key settings. Do not refresh the page or interrupt network or power during the update.</w:t>
      </w:r>
    </w:p>
    <w:p>
      <w:pPr>
        <w:pStyle w:val="Normal"/>
        <w:spacing w:lineRule="exact" w:line="340" w:before="0" w:after="120"/>
        <w:rPr/>
      </w:pPr>
      <w:r>
        <w:rPr>
          <w:rFonts w:eastAsia="Arial Unicode MS" w:cs="Arial"/>
          <w:color w:val="243442"/>
          <w:sz w:val="21"/>
        </w:rPr>
        <w:t>Do not upload a full manufacturing Flash image as a Web OTA package. Filesystem maintenance requires a controlled service procedure; do not delete or overwrite Web assets yourself.</w:t>
      </w:r>
    </w:p>
    <w:p>
      <w:pPr>
        <w:pStyle w:val="Heading2"/>
        <w:spacing w:lineRule="exact" w:line="360" w:before="240" w:after="120"/>
        <w:rPr/>
      </w:pPr>
      <w:bookmarkStart w:id="21" w:name="manual_heading_022"/>
      <w:r>
        <w:rPr>
          <w:rFonts w:eastAsia="Arial Unicode MS" w:cs="Arial" w:ascii="Arial" w:hAnsi="Arial"/>
          <w:color w:val="000000"/>
          <w:sz w:val="24"/>
        </w:rPr>
        <w:t>9.3 Factory Reset</w:t>
      </w:r>
      <w:bookmarkEnd w:id="21"/>
    </w:p>
    <w:p>
      <w:pPr>
        <w:pStyle w:val="Normal"/>
        <w:spacing w:lineRule="exact" w:line="340" w:before="0" w:after="120"/>
        <w:rPr/>
      </w:pPr>
      <w:r>
        <w:rPr>
          <w:rFonts w:eastAsia="Arial Unicode MS" w:cs="Arial"/>
          <w:color w:val="243442"/>
          <w:sz w:val="21"/>
        </w:rPr>
        <w:t>Factory reset restores network, LoRaWAN and system settings. Record required settings and ensure that the gateway can be reconfigured before proceeding.</w:t>
      </w:r>
    </w:p>
    <w:p>
      <w:pPr>
        <w:pStyle w:val="Normal"/>
        <w:spacing w:lineRule="exact" w:line="340" w:before="0" w:after="120"/>
        <w:rPr/>
      </w:pPr>
      <w:r>
        <w:rPr>
          <w:rFonts w:eastAsia="Arial Unicode MS" w:cs="Arial"/>
          <w:b/>
          <w:color w:val="243442"/>
          <w:sz w:val="21"/>
        </w:rPr>
        <w:t>GD62 has no external REC button, so factory reset cannot be performed using an external button.</w:t>
      </w:r>
      <w:r>
        <w:rPr>
          <w:rFonts w:eastAsia="Arial Unicode MS" w:cs="Arial"/>
          <w:color w:val="243442"/>
          <w:sz w:val="21"/>
        </w:rPr>
        <w:t xml:space="preserve"> Contact technical support and follow the supplied service procedure if a factory reset is required. Do not open the IP67 enclosure to find or press an internal button, as this can compromise its seals.</w:t>
      </w:r>
    </w:p>
    <w:p>
      <w:pPr>
        <w:pStyle w:val="Normal"/>
        <w:spacing w:lineRule="exact" w:line="340" w:before="0" w:after="120"/>
        <w:rPr/>
      </w:pPr>
      <w:r>
        <w:rPr>
          <w:rFonts w:eastAsia="Arial Unicode MS" w:cs="Arial"/>
          <w:color w:val="243442"/>
          <w:sz w:val="21"/>
        </w:rPr>
        <w:t xml:space="preserve">The default Web password returns to </w:t>
      </w:r>
      <w:r>
        <w:rPr>
          <w:rFonts w:eastAsia="Arial Unicode MS" w:cs="Menlo"/>
          <w:color w:val="18324A"/>
          <w:sz w:val="21"/>
        </w:rPr>
        <w:t>wifi!0804</w:t>
      </w:r>
      <w:r>
        <w:rPr>
          <w:rFonts w:eastAsia="Arial Unicode MS" w:cs="Arial"/>
          <w:color w:val="243442"/>
          <w:sz w:val="21"/>
        </w:rPr>
        <w:t>; the programmed Gateway EUI is retained. Change the password and restore network, platform and radio settings after login.</w:t>
      </w:r>
    </w:p>
    <w:p>
      <w:pPr>
        <w:pStyle w:val="Heading2"/>
        <w:spacing w:lineRule="exact" w:line="360" w:before="240" w:after="120"/>
        <w:rPr/>
      </w:pPr>
      <w:bookmarkStart w:id="22" w:name="manual_heading_023"/>
      <w:r>
        <w:rPr>
          <w:rFonts w:eastAsia="Arial Unicode MS" w:cs="Arial" w:ascii="Arial" w:hAnsi="Arial"/>
          <w:color w:val="000000"/>
          <w:sz w:val="24"/>
        </w:rPr>
        <w:t>9.4 Operating Indication</w:t>
      </w:r>
      <w:bookmarkEnd w:id="22"/>
    </w:p>
    <w:p>
      <w:pPr>
        <w:pStyle w:val="Normal"/>
        <w:spacing w:lineRule="exact" w:line="340" w:before="0" w:after="120"/>
        <w:rPr/>
      </w:pPr>
      <w:r>
        <w:rPr>
          <w:rFonts w:eastAsia="Arial Unicode MS" w:cs="Arial"/>
          <w:color w:val="243442"/>
          <w:sz w:val="21"/>
        </w:rPr>
        <w:t>Variants with standard operating indication flash slowly during normal operation, with a default pattern of 1 second on and 1 second off. Identify visible indicators according to the delivered unit. Confirm connectivity and forwarding through the console and platform status as well.</w:t>
      </w:r>
    </w:p>
    <w:p>
      <w:pPr>
        <w:pStyle w:val="Heading1"/>
        <w:spacing w:lineRule="exact" w:line="440" w:before="240" w:after="120"/>
        <w:rPr/>
      </w:pPr>
      <w:bookmarkStart w:id="23" w:name="manual_heading_024"/>
      <w:r>
        <w:rPr>
          <w:rFonts w:eastAsia="Arial Unicode MS" w:cs="Arial" w:ascii="Arial" w:hAnsi="Arial"/>
          <w:color w:val="000000"/>
          <w:sz w:val="32"/>
        </w:rPr>
        <w:t>10. Troubleshooting</w:t>
      </w:r>
      <w:bookmarkEnd w:id="23"/>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Symptom</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eastAsia="Arial Unicode MS" w:cs="Arial"/>
                <w:b/>
                <w:color w:val="000000"/>
                <w:kern w:val="0"/>
                <w:sz w:val="19"/>
                <w:szCs w:val="22"/>
                <w:lang w:val="en-US" w:eastAsia="en-US" w:bidi="ar-SA"/>
              </w:rPr>
              <w:t>Checks and actions</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No power</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Check the supply, PoE compatibility, Ethernet cable and connections</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AP not found</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Look for </w:t>
            </w:r>
            <w:r>
              <w:rPr>
                <w:rFonts w:eastAsia="Arial Unicode MS" w:cs="Menlo"/>
                <w:color w:val="18324A"/>
                <w:kern w:val="0"/>
                <w:sz w:val="19"/>
                <w:szCs w:val="22"/>
                <w:lang w:val="en-US" w:eastAsia="en-US" w:bidi="ar-SA"/>
              </w:rPr>
              <w:t>GD6-&lt;Gateway EUI&gt;</w:t>
            </w:r>
            <w:r>
              <w:rPr>
                <w:rFonts w:eastAsia="Arial Unicode MS" w:cs="Arial"/>
                <w:color w:val="243442"/>
                <w:kern w:val="0"/>
                <w:sz w:val="19"/>
                <w:szCs w:val="22"/>
                <w:lang w:val="en-US" w:eastAsia="en-US" w:bidi="ar-SA"/>
              </w:rPr>
              <w:t xml:space="preserve"> and confirm that the AP is enabled</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Management page unavailable</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Check the DHCP address, client subnet or AP connection</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Static IP not active</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Confirm settings were saved, prepare another management link and reboot</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Wi-Fi STA cannot connect</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Check the 2.4 GHz SSID, password, signal and DHCP</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4G cannot connect</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Check SIM, PIN, APN, antenna, signal and module bands</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Platform reports offline</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Check backhaul, Gateway EUI, protocol, addresses and authentication</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Gateway online but no terminal data</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Check LoRa antenna, region, channel plan and terminal registration</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Basic Station connection fails</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Check system time, URI, certificates and authentication</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Brief outage after protocol change</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Wait for forwarding to resume, then check active settings and logs</w:t>
            </w:r>
          </w:p>
        </w:tc>
      </w:tr>
    </w:tbl>
    <w:p>
      <w:pPr>
        <w:pStyle w:val="Normal"/>
        <w:spacing w:lineRule="exact" w:line="340" w:before="0" w:after="120"/>
        <w:rPr/>
      </w:pPr>
      <w:r>
        <w:rPr/>
      </w:r>
    </w:p>
    <w:p>
      <w:pPr>
        <w:pStyle w:val="Normal"/>
        <w:spacing w:lineRule="exact" w:line="340" w:before="0" w:after="120"/>
        <w:rPr/>
      </w:pPr>
      <w:r>
        <w:rPr>
          <w:rFonts w:eastAsia="Arial Unicode MS" w:cs="Arial"/>
          <w:color w:val="243442"/>
          <w:sz w:val="21"/>
        </w:rPr>
        <w:t>When contacting support, provide the model, hardware and firmware versions, incident time, symptoms and relevant logs. Remove passwords, tokens, private keys and site network identifiers before sharing information publicly.</w:t>
      </w:r>
    </w:p>
    <w:p>
      <w:pPr>
        <w:pStyle w:val="Heading1"/>
        <w:spacing w:lineRule="exact" w:line="440" w:before="240" w:after="120"/>
        <w:rPr/>
      </w:pPr>
      <w:bookmarkStart w:id="24" w:name="manual_heading_025"/>
      <w:r>
        <w:rPr>
          <w:rFonts w:eastAsia="Arial Unicode MS" w:cs="Arial" w:ascii="Arial" w:hAnsi="Arial"/>
          <w:color w:val="000000"/>
          <w:sz w:val="32"/>
        </w:rPr>
        <w:t>11. Related Documents</w:t>
      </w:r>
      <w:bookmarkEnd w:id="24"/>
    </w:p>
    <w:p>
      <w:pPr>
        <w:pStyle w:val="ListBullet"/>
        <w:numPr>
          <w:ilvl w:val="0"/>
          <w:numId w:val="1"/>
        </w:numPr>
        <w:spacing w:lineRule="exact" w:line="340" w:before="0" w:after="120"/>
        <w:ind w:hanging="271" w:start="540"/>
        <w:contextualSpacing/>
        <w:rPr/>
      </w:pPr>
      <w:hyperlink r:id="rId6">
        <w:r>
          <w:rPr>
            <w:rStyle w:val="Style"/>
            <w:rFonts w:eastAsia="Arial Unicode MS"/>
            <w:color w:val="1E6F9F"/>
            <w:u w:val="single"/>
          </w:rPr>
          <w:t>gwTool6 Configuration Guide</w:t>
        </w:r>
      </w:hyperlink>
    </w:p>
    <w:p>
      <w:pPr>
        <w:pStyle w:val="ListBullet"/>
        <w:numPr>
          <w:ilvl w:val="0"/>
          <w:numId w:val="1"/>
        </w:numPr>
        <w:spacing w:lineRule="exact" w:line="340" w:before="0" w:after="120"/>
        <w:ind w:hanging="271" w:start="540"/>
        <w:contextualSpacing/>
        <w:rPr/>
      </w:pPr>
      <w:r>
        <w:fldChar w:fldCharType="begin"/>
      </w:r>
      <w:r>
        <w:rPr>
          <w:rStyle w:val="Style"/>
          <w:rFonts w:eastAsia="Arial Unicode MS"/>
          <w:color w:val="1E6F9F"/>
          <w:u w:val="single"/>
        </w:rPr>
        <w:instrText xml:space="preserve"> HYPERLINK "https://www.think-link.net/docs/en/Device/LoRaWANGateway/gwtool-chirpstack-basic-station" \l "gwtool6"</w:instrText>
      </w:r>
      <w:r>
        <w:rPr>
          <w:rStyle w:val="Style"/>
          <w:rFonts w:eastAsia="Arial Unicode MS"/>
          <w:color w:val="1E6F9F"/>
          <w:u w:val="single"/>
        </w:rPr>
        <w:fldChar w:fldCharType="separate"/>
      </w:r>
      <w:r>
        <w:rPr>
          <w:rStyle w:val="Style"/>
          <w:rFonts w:eastAsia="Arial Unicode MS"/>
          <w:color w:val="1E6F9F"/>
          <w:u w:val="single"/>
        </w:rPr>
        <w:t>Connect to ChirpStack through Basic Station</w:t>
      </w:r>
      <w:r>
        <w:rPr>
          <w:rStyle w:val="Style"/>
          <w:rFonts w:eastAsia="Arial Unicode MS"/>
          <w:color w:val="1E6F9F"/>
          <w:u w:val="single"/>
        </w:rPr>
        <w:fldChar w:fldCharType="end"/>
      </w:r>
    </w:p>
    <w:p>
      <w:pPr>
        <w:pStyle w:val="ListBullet"/>
        <w:numPr>
          <w:ilvl w:val="0"/>
          <w:numId w:val="1"/>
        </w:numPr>
        <w:spacing w:lineRule="exact" w:line="340" w:before="0" w:after="120"/>
        <w:ind w:hanging="271" w:start="540"/>
        <w:contextualSpacing/>
        <w:rPr/>
      </w:pPr>
      <w:r>
        <w:fldChar w:fldCharType="begin"/>
      </w:r>
      <w:r>
        <w:rPr>
          <w:rStyle w:val="Style"/>
          <w:rFonts w:eastAsia="Arial Unicode MS"/>
          <w:color w:val="1E6F9F"/>
          <w:u w:val="single"/>
        </w:rPr>
        <w:instrText xml:space="preserve"> HYPERLINK "https://www.think-link.net/docs/en/Device/LoRaWANGateway/gwtool-ttn-basic-station" \l "gwtool6"</w:instrText>
      </w:r>
      <w:r>
        <w:rPr>
          <w:rStyle w:val="Style"/>
          <w:rFonts w:eastAsia="Arial Unicode MS"/>
          <w:color w:val="1E6F9F"/>
          <w:u w:val="single"/>
        </w:rPr>
        <w:fldChar w:fldCharType="separate"/>
      </w:r>
      <w:r>
        <w:rPr>
          <w:rStyle w:val="Style"/>
          <w:rFonts w:eastAsia="Arial Unicode MS"/>
          <w:color w:val="1E6F9F"/>
          <w:u w:val="single"/>
        </w:rPr>
        <w:t>Connect to TTN through Basic Station</w:t>
      </w:r>
      <w:r>
        <w:rPr>
          <w:rStyle w:val="Style"/>
          <w:rFonts w:eastAsia="Arial Unicode MS"/>
          <w:color w:val="1E6F9F"/>
          <w:u w:val="single"/>
        </w:rPr>
        <w:fldChar w:fldCharType="end"/>
      </w:r>
    </w:p>
    <w:sectPr>
      <w:headerReference w:type="even" r:id="rId7"/>
      <w:headerReference w:type="default" r:id="rId8"/>
      <w:headerReference w:type="first" r:id="rId9"/>
      <w:footerReference w:type="even" r:id="rId10"/>
      <w:footerReference w:type="default" r:id="rId11"/>
      <w:footerReference w:type="first" r:id="rId12"/>
      <w:type w:val="nextPage"/>
      <w:pgSz w:w="12240" w:h="15840"/>
      <w:pgMar w:left="1440" w:right="1440" w:gutter="0" w:header="708" w:top="1440" w:footer="708"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Menlo">
    <w:charset w:val="01"/>
    <w:family w:val="roman"/>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end"/>
      <w:rPr/>
    </w:pPr>
    <w:r>
      <w:rPr>
        <w:rFonts w:ascii="Arial" w:hAnsi="Arial" w:cs="Arial"/>
        <w:color w:val="607181"/>
        <w:sz w:val="17"/>
      </w:rPr>
      <w:t xml:space="preserve"> </w:t>
    </w:r>
    <w:r>
      <w:rPr/>
      <w:fldChar w:fldCharType="begin"/>
    </w:r>
    <w:r>
      <w:rPr/>
      <w:instrText xml:space="preserve"> PAGE </w:instrText>
    </w:r>
    <w:r>
      <w:rPr/>
      <w:fldChar w:fldCharType="separate"/>
    </w:r>
    <w:r>
      <w:rPr/>
      <w:t>12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9360" w:leader="none"/>
      </w:tabs>
      <w:spacing w:before="0" w:after="0"/>
      <w:rPr/>
    </w:pPr>
    <w:r>
      <w:rPr>
        <w:rFonts w:eastAsia="Arial Unicode MS" w:cs="Arial"/>
        <w:b/>
        <w:color w:val="000000"/>
        <w:sz w:val="17"/>
      </w:rPr>
      <w:t>MANTHINK  /  GD62</w:t>
    </w:r>
    <w:r>
      <w:rPr>
        <w:color w:val="000000"/>
      </w:rPr>
      <w:tab/>
    </w:r>
    <w:r>
      <w:rPr>
        <w:rFonts w:eastAsia="Arial Unicode MS" w:cs="Arial"/>
        <w:color w:val="000000"/>
        <w:sz w:val="16"/>
      </w:rPr>
      <w:t>DEVICE MANUAL</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300" w:before="0" w:after="120"/>
      <w:jc w:val="start"/>
    </w:pPr>
    <w:rPr>
      <w:rFonts w:ascii="Arial" w:hAnsi="Arial" w:eastAsia="Arial Unicode MS" w:cs=""/>
      <w:color w:val="243442"/>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360" w:after="200"/>
      <w:outlineLvl w:val="0"/>
    </w:pPr>
    <w:rPr>
      <w:rFonts w:ascii="Calibri" w:hAnsi="Calibri" w:eastAsia="ＭＳ ゴシック" w:cs="" w:asciiTheme="majorHAnsi" w:cstheme="majorBidi" w:eastAsiaTheme="majorEastAsia" w:hAnsiTheme="majorHAnsi"/>
      <w:b/>
      <w:bCs/>
      <w:color w:val="000000"/>
      <w:sz w:val="32"/>
      <w:szCs w:val="28"/>
    </w:rPr>
  </w:style>
  <w:style w:type="paragraph" w:styleId="Heading2">
    <w:name w:val="heading 2"/>
    <w:basedOn w:val="Normal"/>
    <w:next w:val="Normal"/>
    <w:link w:val="Heading2Char"/>
    <w:uiPriority w:val="9"/>
    <w:unhideWhenUsed/>
    <w:qFormat/>
    <w:rsid w:val="00fc693f"/>
    <w:pPr>
      <w:keepNext w:val="true"/>
      <w:keepLines/>
      <w:spacing w:before="280" w:after="140"/>
      <w:outlineLvl w:val="1"/>
    </w:pPr>
    <w:rPr>
      <w:rFonts w:ascii="Calibri" w:hAnsi="Calibri" w:eastAsia="ＭＳ ゴシック" w:cs="" w:asciiTheme="majorHAnsi" w:cstheme="majorBidi" w:eastAsiaTheme="majorEastAsia" w:hAnsiTheme="majorHAnsi"/>
      <w:b/>
      <w:bCs/>
      <w:color w:val="000000"/>
      <w:sz w:val="26"/>
      <w:szCs w:val="26"/>
    </w:rPr>
  </w:style>
  <w:style w:type="paragraph" w:styleId="Heading3">
    <w:name w:val="heading 3"/>
    <w:basedOn w:val="Normal"/>
    <w:next w:val="Normal"/>
    <w:link w:val="Heading3Char"/>
    <w:uiPriority w:val="9"/>
    <w:unhideWhenUsed/>
    <w:qFormat/>
    <w:rsid w:val="00fc693f"/>
    <w:pPr>
      <w:keepNext w:val="true"/>
      <w:keepLines/>
      <w:spacing w:before="200" w:after="100"/>
      <w:outlineLvl w:val="2"/>
    </w:pPr>
    <w:rPr>
      <w:rFonts w:ascii="Calibri" w:hAnsi="Calibri" w:eastAsia="ＭＳ ゴシック" w:cs="" w:asciiTheme="majorHAnsi" w:cstheme="majorBidi" w:eastAsiaTheme="majorEastAsia" w:hAnsiTheme="majorHAnsi"/>
      <w:b/>
      <w:bCs/>
      <w:color w:val="000000"/>
      <w:sz w:val="24"/>
    </w:rPr>
  </w:style>
  <w:style w:type="paragraph" w:styleId="Heading4">
    <w:name w:val="heading 4"/>
    <w:basedOn w:val="Normal"/>
    <w:next w:val="Normal"/>
    <w:link w:val="Heading4Char"/>
    <w:uiPriority w:val="9"/>
    <w:semiHidden/>
    <w:unhideWhenUsed/>
    <w:qFormat/>
    <w:rsid w:val="00fc693f"/>
    <w:pPr>
      <w:keepNext w:val="true"/>
      <w:keepLines/>
      <w:spacing w:before="160" w:after="80"/>
      <w:outlineLvl w:val="3"/>
    </w:pPr>
    <w:rPr>
      <w:rFonts w:ascii="Calibri" w:hAnsi="Calibri" w:eastAsia="ＭＳ ゴシック" w:cs="" w:asciiTheme="majorHAnsi" w:cstheme="majorBidi" w:eastAsiaTheme="majorEastAsia" w:hAnsiTheme="majorHAnsi"/>
      <w:b/>
      <w:bCs/>
      <w:i/>
      <w:iCs/>
      <w:color w:val="000000"/>
      <w:sz w:val="22"/>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00000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00000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00000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000000"/>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000000"/>
      <w:sz w:val="20"/>
      <w:szCs w:val="20"/>
    </w:rPr>
  </w:style>
  <w:style w:type="character" w:styleId="HeaderChar" w:customStyle="1">
    <w:name w:val="Header Char"/>
    <w:basedOn w:val="DefaultParagraphFont"/>
    <w:link w:val="Header"/>
    <w:uiPriority w:val="99"/>
    <w:rsid w:val="00e618bf"/>
    <w:rPr/>
  </w:style>
  <w:style w:type="character" w:styleId="FooterChar" w:customStyle="1">
    <w:name w:val="Footer Char"/>
    <w:basedOn w:val="DefaultParagraphFont"/>
    <w:link w:val="Footer"/>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fc693f"/>
    <w:rPr>
      <w:rFonts w:ascii="Calibri" w:hAnsi="Calibri" w:eastAsia="ＭＳ ゴシック" w:cs="" w:asciiTheme="majorHAnsi" w:cstheme="majorBidi" w:eastAsiaTheme="majorEastAsia" w:hAnsiTheme="majorHAnsi"/>
      <w:b/>
      <w:bCs/>
      <w:color w:val="000000"/>
      <w:sz w:val="28"/>
      <w:szCs w:val="28"/>
    </w:rPr>
  </w:style>
  <w:style w:type="character" w:styleId="Heading2Char" w:customStyle="1">
    <w:name w:val="Heading 2 Char"/>
    <w:basedOn w:val="DefaultParagraphFont"/>
    <w:link w:val="Heading2"/>
    <w:uiPriority w:val="9"/>
    <w:rsid w:val="00fc693f"/>
    <w:rPr>
      <w:rFonts w:ascii="Calibri" w:hAnsi="Calibri" w:eastAsia="ＭＳ ゴシック" w:cs="" w:asciiTheme="majorHAnsi" w:cstheme="majorBidi" w:eastAsiaTheme="majorEastAsia" w:hAnsiTheme="majorHAnsi"/>
      <w:b/>
      <w:bCs/>
      <w:color w:val="000000"/>
      <w:sz w:val="26"/>
      <w:szCs w:val="26"/>
    </w:rPr>
  </w:style>
  <w:style w:type="character" w:styleId="Heading3Char" w:customStyle="1">
    <w:name w:val="Heading 3 Char"/>
    <w:basedOn w:val="DefaultParagraphFont"/>
    <w:link w:val="Heading3"/>
    <w:uiPriority w:val="9"/>
    <w:rsid w:val="00fc693f"/>
    <w:rPr>
      <w:rFonts w:ascii="Calibri" w:hAnsi="Calibri" w:eastAsia="ＭＳ ゴシック" w:cs="" w:asciiTheme="majorHAnsi" w:cstheme="majorBidi" w:eastAsiaTheme="majorEastAsia" w:hAnsiTheme="majorHAnsi"/>
      <w:b/>
      <w:bCs/>
      <w:color w:val="000000"/>
    </w:rPr>
  </w:style>
  <w:style w:type="character" w:styleId="TitleChar" w:customStyle="1">
    <w:name w:val="Title Char"/>
    <w:basedOn w:val="DefaultParagraphFont"/>
    <w:link w:val="Title"/>
    <w:uiPriority w:val="10"/>
    <w:rsid w:val="00fc693f"/>
    <w:rPr>
      <w:rFonts w:ascii="Calibri" w:hAnsi="Calibri" w:eastAsia="ＭＳ ゴシック" w:cs="" w:asciiTheme="majorHAnsi" w:cstheme="majorBidi" w:eastAsiaTheme="majorEastAsia" w:hAnsiTheme="majorHAnsi"/>
      <w:color w:val="000000"/>
      <w:spacing w:val="5"/>
      <w:kern w:val="2"/>
      <w:sz w:val="52"/>
      <w:szCs w:val="52"/>
    </w:rPr>
  </w:style>
  <w:style w:type="character" w:styleId="SubtitleChar" w:customStyle="1">
    <w:name w:val="Subtitle Char"/>
    <w:basedOn w:val="DefaultParagraphFont"/>
    <w:link w:val="Subtitle"/>
    <w:uiPriority w:val="11"/>
    <w:rsid w:val="00fc693f"/>
    <w:rPr>
      <w:rFonts w:ascii="Calibri" w:hAnsi="Calibri" w:eastAsia="ＭＳ ゴシック" w:cs="" w:asciiTheme="majorHAnsi" w:cstheme="majorBidi" w:eastAsiaTheme="majorEastAsia" w:hAnsiTheme="majorHAnsi"/>
      <w:i/>
      <w:iCs/>
      <w:color w:val="000000"/>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val="000000"/>
    </w:rPr>
  </w:style>
  <w:style w:type="character" w:styleId="Heading5Char" w:customStyle="1">
    <w:name w:val="Heading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val="000000"/>
    </w:rPr>
  </w:style>
  <w:style w:type="character" w:styleId="Heading6Char" w:customStyle="1">
    <w:name w:val="Heading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val="000000"/>
    </w:rPr>
  </w:style>
  <w:style w:type="character" w:styleId="Heading7Char" w:customStyle="1">
    <w:name w:val="Heading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val="000000"/>
    </w:rPr>
  </w:style>
  <w:style w:type="character" w:styleId="Heading8Char" w:customStyle="1">
    <w:name w:val="Heading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val="000000"/>
      <w:sz w:val="20"/>
      <w:szCs w:val="20"/>
    </w:rPr>
  </w:style>
  <w:style w:type="character" w:styleId="Heading9Char" w:customStyle="1">
    <w:name w:val="Heading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val="00000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spacing w:lineRule="auto" w:line="240" w:before="0" w:after="300"/>
      <w:contextualSpacing/>
    </w:pPr>
    <w:rPr>
      <w:rFonts w:ascii="Calibri" w:hAnsi="Calibri" w:eastAsia="ＭＳ ゴシック" w:cs="" w:asciiTheme="majorHAnsi" w:cstheme="majorBidi" w:eastAsiaTheme="majorEastAsia" w:hAnsiTheme="majorHAnsi"/>
      <w:color w:val="000000"/>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000000"/>
      <w:spacing w:val="15"/>
      <w:sz w:val="24"/>
      <w:szCs w:val="24"/>
    </w:rPr>
  </w:style>
  <w:style w:type="paragraph" w:styleId="ListParagraph">
    <w:name w:val="List Paragraph"/>
    <w:basedOn w:val="Normal"/>
    <w:uiPriority w:val="34"/>
    <w:qFormat/>
    <w:rsid w:val="00fc693f"/>
    <w:pPr>
      <w:spacing w:before="0" w:after="120"/>
      <w:ind w:start="720"/>
      <w:contextualSpacing/>
    </w:pPr>
    <w:rPr/>
  </w:style>
  <w:style w:type="paragraph" w:styleId="BodyText2">
    <w:name w:val="Body Text 2"/>
    <w:basedOn w:val="Normal"/>
    <w:link w:val="BodyText2Char"/>
    <w:uiPriority w:val="99"/>
    <w:unhideWhenUsed/>
    <w:rsid w:val="00aa1d8d"/>
    <w:pPr>
      <w:spacing w:lineRule="auto" w:line="480" w:before="0" w:after="120"/>
    </w:pPr>
    <w:rPr/>
  </w:style>
  <w:style w:type="paragraph" w:styleId="BodyText3">
    <w:name w:val="Body Text 3"/>
    <w:basedOn w:val="Normal"/>
    <w:link w:val="BodyText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120"/>
      <w:ind w:hanging="360" w:start="720"/>
      <w:contextualSpacing/>
    </w:pPr>
    <w:rPr/>
  </w:style>
  <w:style w:type="paragraph" w:styleId="List3">
    <w:name w:val="List 3"/>
    <w:basedOn w:val="Normal"/>
    <w:uiPriority w:val="99"/>
    <w:unhideWhenUsed/>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lineRule="auto" w:line="300" w:before="0" w:after="80"/>
      <w:ind w:hanging="271" w:start="540"/>
      <w:contextualSpacing/>
    </w:pPr>
    <w:rPr>
      <w:rFonts w:ascii="Arial" w:hAnsi="Arial" w:eastAsia="Arial Unicode MS"/>
      <w:sz w:val="22"/>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lineRule="auto" w:line="300" w:before="0" w:after="80"/>
      <w:ind w:hanging="271" w:start="540"/>
      <w:contextualSpacing/>
    </w:pPr>
    <w:rPr>
      <w:rFonts w:ascii="Arial" w:hAnsi="Arial" w:eastAsia="Arial Unicode MS"/>
      <w:sz w:val="22"/>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ManualTOC1" w:customStyle="1">
    <w:name w:val="Manual TOC 1"/>
    <w:pPr>
      <w:keepLines/>
      <w:widowControl/>
      <w:tabs>
        <w:tab w:val="clear" w:pos="720"/>
        <w:tab w:val="right" w:pos="9144" w:leader="dot"/>
      </w:tabs>
      <w:bidi w:val="0"/>
      <w:spacing w:lineRule="auto" w:line="276" w:before="80" w:after="80"/>
      <w:ind w:start="0" w:end="0"/>
      <w:jc w:val="start"/>
    </w:pPr>
    <w:rPr>
      <w:rFonts w:ascii="Arial" w:hAnsi="Arial" w:eastAsia="Arial Unicode MS" w:cs=""/>
      <w:b/>
      <w:color w:val="18324A"/>
      <w:kern w:val="0"/>
      <w:sz w:val="21"/>
      <w:szCs w:val="22"/>
      <w:lang w:val="en-US" w:eastAsia="en-US" w:bidi="ar-SA"/>
    </w:rPr>
  </w:style>
  <w:style w:type="paragraph" w:styleId="ManualTOC2" w:customStyle="1">
    <w:name w:val="Manual TOC 2"/>
    <w:pPr>
      <w:keepLines/>
      <w:widowControl/>
      <w:tabs>
        <w:tab w:val="clear" w:pos="720"/>
        <w:tab w:val="right" w:pos="9144" w:leader="dot"/>
      </w:tabs>
      <w:bidi w:val="0"/>
      <w:spacing w:lineRule="auto" w:line="276" w:before="40" w:after="60"/>
      <w:ind w:start="403" w:end="0"/>
      <w:jc w:val="start"/>
    </w:pPr>
    <w:rPr>
      <w:rFonts w:ascii="Arial" w:hAnsi="Arial" w:eastAsia="Arial Unicode MS" w:cs=""/>
      <w:b w:val="false"/>
      <w:color w:val="607181"/>
      <w:kern w:val="0"/>
      <w:sz w:val="19"/>
      <w:szCs w:val="22"/>
      <w:lang w:val="en-US" w:eastAsia="en-US" w:bidi="ar-SA"/>
    </w:rPr>
  </w:style>
  <w:style w:type="paragraph" w:styleId="ManualTOC3" w:customStyle="1">
    <w:name w:val="Manual TOC 3"/>
    <w:pPr>
      <w:keepLines/>
      <w:widowControl/>
      <w:tabs>
        <w:tab w:val="clear" w:pos="720"/>
        <w:tab w:val="right" w:pos="9144" w:leader="dot"/>
      </w:tabs>
      <w:bidi w:val="0"/>
      <w:spacing w:lineRule="auto" w:line="276" w:before="20" w:after="60"/>
      <w:ind w:start="749" w:end="0"/>
      <w:jc w:val="start"/>
    </w:pPr>
    <w:rPr>
      <w:rFonts w:ascii="Arial" w:hAnsi="Arial" w:eastAsia="Arial Unicode MS" w:cs=""/>
      <w:b w:val="false"/>
      <w:color w:val="607181"/>
      <w:kern w:val="0"/>
      <w:sz w:val="18"/>
      <w:szCs w:val="22"/>
      <w:lang w:val="en-US" w:eastAsia="en-US" w:bidi="ar-SA"/>
    </w:rPr>
  </w:style>
  <w:style w:type="paragraph" w:styleId="CodeBlock" w:customStyle="1">
    <w:name w:val="Code Block"/>
    <w:pPr>
      <w:widowControl/>
      <w:shd w:fill="F0F4F6" w:val="clear"/>
      <w:bidi w:val="0"/>
      <w:spacing w:lineRule="auto" w:line="276" w:before="100" w:after="140"/>
      <w:ind w:start="259" w:end="259"/>
      <w:jc w:val="start"/>
    </w:pPr>
    <w:rPr>
      <w:rFonts w:ascii="Menlo" w:hAnsi="Menlo" w:eastAsia="Arial Unicode MS" w:cs=""/>
      <w:color w:val="18324A"/>
      <w:kern w:val="0"/>
      <w:sz w:val="18"/>
      <w:szCs w:val="22"/>
      <w:lang w:val="en-US" w:eastAsia="en-US" w:bidi="ar-SA"/>
    </w:rPr>
  </w:style>
  <w:style w:type="paragraph" w:styleId="FigureCaption" w:customStyle="1">
    <w:name w:val="Figure Caption"/>
    <w:pPr>
      <w:widowControl/>
      <w:bidi w:val="0"/>
      <w:spacing w:lineRule="auto" w:line="276" w:before="60" w:after="160"/>
      <w:jc w:val="center"/>
    </w:pPr>
    <w:rPr>
      <w:rFonts w:ascii="Arial" w:hAnsi="Arial" w:eastAsia="Arial Unicode MS" w:cs=""/>
      <w:color w:val="607181"/>
      <w:kern w:val="0"/>
      <w:sz w:val="17"/>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hyperlink" Target="https://www.think-link.net/docs/en/Device/LoRaWANGateway/gd6-configuration-guide"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LibreOfficeDev/26.8.0.0.alpha0$MacOSX_X86_64 LibreOffice_project/2c87e51eeaa2b413ff4ae097b2705eea1995d8e5</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dc:description>generated by python-docx</dc:description>
  <cp:keywords>ManThink ThinkLink LoRaWAN</cp:keywords>
  <dc:language>zh-CN</dc:language>
  <cp:lastModifiedBy/>
  <dcterms:modified xsi:type="dcterms:W3CDTF">2013-12-23T23:15:00Z</dcterms:modified>
  <cp:revision>1</cp:revision>
  <dc:subject>ManThink device manual</dc:subject>
  <dc:title>GD62 IP67 Outdoor LoRaWAN Gateway User Manual</dc:title>
</cp:coreProperties>
</file>

<file path=docProps/custom.xml><?xml version="1.0" encoding="utf-8"?>
<Properties xmlns="http://schemas.openxmlformats.org/officeDocument/2006/custom-properties" xmlns:vt="http://schemas.openxmlformats.org/officeDocument/2006/docPropsVTypes"/>
</file>