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40" w:after="680"/>
      </w:pPr>
      <w:r>
        <w:rPr>
          <w:rFonts w:ascii="Arial" w:hAnsi="Arial" w:eastAsia="Arial Unicode MS" w:cs="Arial"/>
          <w:b/>
          <w:color w:val="2CA6A4"/>
          <w:sz w:val="19"/>
        </w:rPr>
        <w:t>MANTHINK  /  INDUSTRIAL IoT</w:t>
      </w:r>
    </w:p>
    <w:p>
      <w:pPr>
        <w:spacing w:after="40"/>
      </w:pPr>
      <w:r>
        <w:rPr>
          <w:rFonts w:ascii="Arial" w:hAnsi="Arial" w:eastAsia="Arial Unicode MS" w:cs="Arial"/>
          <w:b/>
          <w:color w:val="18324A"/>
          <w:sz w:val="68"/>
        </w:rPr>
        <w:t>GD61x</w:t>
      </w:r>
    </w:p>
    <w:p>
      <w:pPr>
        <w:spacing w:after="80"/>
      </w:pPr>
      <w:r>
        <w:rPr>
          <w:rFonts w:ascii="Arial" w:hAnsi="Arial" w:eastAsia="Arial Unicode MS" w:cs="Arial"/>
          <w:b/>
          <w:color w:val="243442"/>
          <w:sz w:val="34"/>
        </w:rPr>
        <w:t>LoRaWAN Gateway</w:t>
      </w:r>
    </w:p>
    <w:p>
      <w:pPr>
        <w:spacing w:after="360"/>
      </w:pPr>
      <w:r>
        <w:rPr>
          <w:rFonts w:ascii="Arial" w:hAnsi="Arial" w:eastAsia="Arial Unicode MS" w:cs="Arial"/>
          <w:color w:val="607181"/>
          <w:sz w:val="23"/>
        </w:rPr>
        <w:t>Standardized Device Manual</w:t>
      </w:r>
    </w:p>
    <w:p>
      <w:pPr>
        <w:spacing w:before="0" w:after="320"/>
        <w:jc w:val="center"/>
      </w:pPr>
      <w:r>
        <w:drawing>
          <wp:inline xmlns:a="http://schemas.openxmlformats.org/drawingml/2006/main" xmlns:pic="http://schemas.openxmlformats.org/drawingml/2006/picture">
            <wp:extent cx="4297680" cy="4297680"/>
            <wp:docPr id="1" name="Picture 1" descr="GD61x Indoor LoRaWAN Gateway Specification and User Guide" title="GD61x Indoor LoRaWAN Gateway Specification and User Guide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gd61x-front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297680" cy="4297680"/>
                    </a:xfrm>
                    <a:prstGeom prst="rect"/>
                  </pic:spPr>
                </pic:pic>
              </a:graphicData>
            </a:graphic>
          </wp:inline>
        </w:drawing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680"/>
        <w:gridCol w:w="4680"/>
      </w:tblGrid>
      <w:tr>
        <w:trPr>
          <w:cantSplit/>
        </w:trPr>
        <w:tc>
          <w:tcPr>
            <w:tcW w:type="dxa" w:w="468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E8F1F6"/>
          </w:tcPr>
          <w:p>
            <w:pPr>
              <w:spacing w:after="0"/>
            </w:pPr>
            <w:r>
              <w:rPr>
                <w:rFonts w:ascii="Arial" w:hAnsi="Arial" w:eastAsia="Arial Unicode MS" w:cs="Arial"/>
                <w:b/>
                <w:color w:val="607181"/>
                <w:sz w:val="16"/>
              </w:rPr>
              <w:t>VERSION</w:t>
              <w:br/>
            </w:r>
            <w:r>
              <w:rPr>
                <w:rFonts w:ascii="Arial" w:hAnsi="Arial" w:eastAsia="Arial Unicode MS" w:cs="Arial"/>
                <w:b/>
                <w:color w:val="18324A"/>
                <w:sz w:val="22"/>
              </w:rPr>
              <w:t>1.4</w:t>
            </w:r>
          </w:p>
        </w:tc>
        <w:tc>
          <w:tcPr>
            <w:tcW w:type="dxa" w:w="468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E8F1F6"/>
          </w:tcPr>
          <w:p>
            <w:pPr>
              <w:spacing w:after="0"/>
            </w:pPr>
            <w:r>
              <w:rPr>
                <w:rFonts w:ascii="Arial" w:hAnsi="Arial" w:eastAsia="Arial Unicode MS" w:cs="Arial"/>
                <w:b/>
                <w:color w:val="607181"/>
                <w:sz w:val="16"/>
              </w:rPr>
              <w:t>DOCUMENT</w:t>
              <w:br/>
            </w:r>
            <w:r>
              <w:rPr>
                <w:rFonts w:ascii="Arial" w:hAnsi="Arial" w:eastAsia="Arial Unicode MS" w:cs="Arial"/>
                <w:b/>
                <w:color w:val="18324A"/>
                <w:sz w:val="22"/>
              </w:rPr>
              <w:t>Device Manual</w:t>
            </w:r>
          </w:p>
        </w:tc>
      </w:tr>
    </w:tbl>
    <w:p>
      <w:r>
        <w:br w:type="page"/>
      </w:r>
    </w:p>
    <w:p>
      <w:r>
        <w:rPr>
          <w:rFonts w:ascii="Arial" w:hAnsi="Arial" w:eastAsia="Arial Unicode MS" w:cs="Arial"/>
          <w:color w:val="243442"/>
          <w:sz w:val="22"/>
        </w:rPr>
        <w:t>Document version: 1.4</w:t>
      </w:r>
    </w:p>
    <w:p>
      <w:r>
        <w:rPr>
          <w:rFonts w:ascii="Arial" w:hAnsi="Arial" w:eastAsia="Arial Unicode MS" w:cs="Arial"/>
          <w:color w:val="243442"/>
          <w:sz w:val="22"/>
        </w:rPr>
        <w:t>Applicable models: GD61x series (GD614 and GD618 band variants)</w:t>
      </w:r>
    </w:p>
    <w:p>
      <w:pPr>
        <w:pStyle w:val="Heading1"/>
      </w:pPr>
      <w:r>
        <w:rPr>
          <w:rFonts w:ascii="Arial" w:hAnsi="Arial" w:eastAsia="Arial Unicode MS" w:cs="Arial"/>
          <w:color w:val="1E6F9F"/>
          <w:sz w:val="32"/>
        </w:rPr>
        <w:t>Product overview</w:t>
      </w:r>
    </w:p>
    <w:p>
      <w:r>
        <w:rPr>
          <w:rFonts w:ascii="Arial" w:hAnsi="Arial" w:eastAsia="Arial Unicode MS" w:cs="Arial"/>
          <w:color w:val="243442"/>
          <w:sz w:val="22"/>
        </w:rPr>
        <w:t xml:space="preserve">GD61x is an indoor LoRaWAN gateway based on the ESP32-S3, with a Semtech SX1301 or SX1302 concentrator selected by the ordering code. It combines Ethernet, Wi-Fi and optional 4G backhaul and accepts Type-C or 5–24 V DC power. A 4G option code of </w:t>
      </w:r>
      <w:r>
        <w:rPr>
          <w:rFonts w:ascii="Menlo" w:hAnsi="Menlo" w:eastAsia="Arial Unicode MS" w:cs="Menlo"/>
          <w:color w:val="18324A"/>
          <w:sz w:val="21"/>
        </w:rPr>
        <w:t>G</w:t>
      </w:r>
      <w:r>
        <w:rPr>
          <w:rFonts w:ascii="Arial" w:hAnsi="Arial" w:eastAsia="Arial Unicode MS" w:cs="Arial"/>
          <w:color w:val="243442"/>
          <w:sz w:val="22"/>
        </w:rPr>
        <w:t xml:space="preserve"> adds the 4G and PoE modules. A Web console provides network, LoRaWAN server, radio, logging and firmware-maintenance configuration.</w:t>
      </w:r>
    </w:p>
    <w:p>
      <w:r>
        <w:rPr>
          <w:rFonts w:ascii="Arial" w:hAnsi="Arial" w:eastAsia="Arial Unicode MS" w:cs="Arial"/>
          <w:color w:val="243442"/>
          <w:sz w:val="22"/>
        </w:rPr>
        <w:t>The only external antenna is the LoRa antenna. The Wi-Fi antenna and, on configurations with 4G, the 4G antenna are installed inside the enclosure, making GD61x suitable for offices, buildings, campuses, equipment rooms and light-industrial indoor sites.</w:t>
      </w:r>
    </w:p>
    <w:p>
      <w:pPr>
        <w:spacing w:before="80" w:after="40"/>
        <w:jc w:val="center"/>
      </w:pPr>
      <w:r>
        <w:drawing>
          <wp:inline xmlns:a="http://schemas.openxmlformats.org/drawingml/2006/main" xmlns:pic="http://schemas.openxmlformats.org/drawingml/2006/picture">
            <wp:extent cx="5303520" cy="5303520"/>
            <wp:docPr id="2" name="Picture 2" descr="GD61x front view with LoRa, REC and SIM interfaces" title="GD61x front view with LoRa, REC and SIM interfaces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gd61x-front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303520" cy="530352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FigureCaption"/>
      </w:pPr>
      <w:r>
        <w:t>Figure  GD61x front view with LoRa, REC and SIM interfaces</w:t>
      </w:r>
    </w:p>
    <w:p>
      <w:pPr>
        <w:pStyle w:val="Heading2"/>
      </w:pPr>
      <w:r>
        <w:rPr>
          <w:rFonts w:ascii="Arial" w:hAnsi="Arial" w:eastAsia="Arial Unicode MS" w:cs="Arial"/>
          <w:color w:val="1E6F9F"/>
          <w:sz w:val="26"/>
        </w:rPr>
        <w:t>Product highlights</w:t>
      </w:r>
    </w:p>
    <w:p>
      <w:pPr>
        <w:pStyle w:val="ListBullet"/>
        <w:ind w:left="540" w:hanging="271"/>
      </w:pPr>
      <w:r>
        <w:rPr>
          <w:rFonts w:ascii="Arial" w:hAnsi="Arial" w:eastAsia="Arial Unicode MS" w:cs="Arial"/>
          <w:color w:val="243442"/>
          <w:sz w:val="22"/>
        </w:rPr>
        <w:t>ESP32-S3 controller with 8 MB Flash and 8 MB PSRAM.</w:t>
      </w:r>
    </w:p>
    <w:p>
      <w:pPr>
        <w:pStyle w:val="ListBullet"/>
        <w:ind w:left="540" w:hanging="271"/>
      </w:pPr>
      <w:r>
        <w:rPr>
          <w:rFonts w:ascii="Arial" w:hAnsi="Arial" w:eastAsia="Arial Unicode MS" w:cs="Arial"/>
          <w:color w:val="243442"/>
          <w:sz w:val="22"/>
        </w:rPr>
        <w:t>Semtech SX1301 or SX1302 concentrator selected by the model suffix.</w:t>
      </w:r>
    </w:p>
    <w:p>
      <w:pPr>
        <w:pStyle w:val="ListBullet"/>
        <w:ind w:left="540" w:hanging="271"/>
      </w:pPr>
      <w:r>
        <w:rPr>
          <w:rFonts w:ascii="Menlo" w:hAnsi="Menlo" w:eastAsia="Arial Unicode MS" w:cs="Menlo"/>
          <w:color w:val="18324A"/>
          <w:sz w:val="21"/>
        </w:rPr>
        <w:t>A</w:t>
      </w:r>
      <w:r>
        <w:rPr>
          <w:rFonts w:ascii="Arial" w:hAnsi="Arial" w:eastAsia="Arial Unicode MS" w:cs="Arial"/>
          <w:color w:val="243442"/>
          <w:sz w:val="22"/>
        </w:rPr>
        <w:t xml:space="preserve"> LoRa architecture: one LoRa antenna, 8 frequency points, 65 channels and half-duplex operation.</w:t>
      </w:r>
    </w:p>
    <w:p>
      <w:pPr>
        <w:pStyle w:val="ListBullet"/>
        <w:ind w:left="540" w:hanging="271"/>
      </w:pPr>
      <w:r>
        <w:rPr>
          <w:rFonts w:ascii="Arial" w:hAnsi="Arial" w:eastAsia="Arial Unicode MS" w:cs="Arial"/>
          <w:color w:val="243442"/>
          <w:sz w:val="22"/>
        </w:rPr>
        <w:t>GD614 is the 400 MHz-class RF version; GD618 is the 800 MHz-and-above RF version. The model number does not indicate channel count.</w:t>
      </w:r>
    </w:p>
    <w:p>
      <w:pPr>
        <w:pStyle w:val="ListBullet"/>
        <w:ind w:left="540" w:hanging="271"/>
      </w:pPr>
      <w:r>
        <w:rPr>
          <w:rFonts w:ascii="Arial" w:hAnsi="Arial" w:eastAsia="Arial Unicode MS" w:cs="Arial"/>
          <w:color w:val="243442"/>
          <w:sz w:val="22"/>
        </w:rPr>
        <w:t xml:space="preserve">Ethernet and Wi-Fi STA backhaul; a 4G option code of </w:t>
      </w:r>
      <w:r>
        <w:rPr>
          <w:rFonts w:ascii="Menlo" w:hAnsi="Menlo" w:eastAsia="Arial Unicode MS" w:cs="Menlo"/>
          <w:color w:val="18324A"/>
          <w:sz w:val="21"/>
        </w:rPr>
        <w:t>G</w:t>
      </w:r>
      <w:r>
        <w:rPr>
          <w:rFonts w:ascii="Arial" w:hAnsi="Arial" w:eastAsia="Arial Unicode MS" w:cs="Arial"/>
          <w:color w:val="243442"/>
          <w:sz w:val="22"/>
        </w:rPr>
        <w:t xml:space="preserve"> adds 4G and PoE. Ethernet is preferred by default, with automatic failover.</w:t>
      </w:r>
    </w:p>
    <w:p>
      <w:pPr>
        <w:pStyle w:val="ListBullet"/>
        <w:ind w:left="540" w:hanging="271"/>
      </w:pPr>
      <w:r>
        <w:rPr>
          <w:rFonts w:ascii="Arial" w:hAnsi="Arial" w:eastAsia="Arial Unicode MS" w:cs="Arial"/>
          <w:color w:val="243442"/>
          <w:sz w:val="22"/>
        </w:rPr>
        <w:t>Wi-Fi Soft-AP for local configuration and recovery access.</w:t>
      </w:r>
    </w:p>
    <w:p>
      <w:pPr>
        <w:pStyle w:val="ListBullet"/>
        <w:ind w:left="540" w:hanging="271"/>
      </w:pPr>
      <w:r>
        <w:rPr>
          <w:rFonts w:ascii="Arial" w:hAnsi="Arial" w:eastAsia="Arial Unicode MS" w:cs="Arial"/>
          <w:color w:val="243442"/>
          <w:sz w:val="22"/>
        </w:rPr>
        <w:t>Semtech UDP Packet Forwarder, Basic Station and MQTT Bridge.</w:t>
      </w:r>
    </w:p>
    <w:p>
      <w:pPr>
        <w:pStyle w:val="ListBullet"/>
        <w:ind w:left="540" w:hanging="271"/>
      </w:pPr>
      <w:r>
        <w:rPr>
          <w:rFonts w:ascii="Arial" w:hAnsi="Arial" w:eastAsia="Arial Unicode MS" w:cs="Arial"/>
          <w:color w:val="243442"/>
          <w:sz w:val="22"/>
        </w:rPr>
        <w:t>DHCP, static IPv4, TLS certificates and a separate remote MQTT configuration channel; configurations with 4G support APN and SIM PIN settings.</w:t>
      </w:r>
    </w:p>
    <w:p>
      <w:pPr>
        <w:pStyle w:val="ListBullet"/>
        <w:ind w:left="540" w:hanging="271"/>
      </w:pPr>
      <w:r>
        <w:rPr>
          <w:rFonts w:ascii="Arial" w:hAnsi="Arial" w:eastAsia="Arial Unicode MS" w:cs="Arial"/>
          <w:color w:val="243442"/>
          <w:sz w:val="22"/>
        </w:rPr>
        <w:t>A/B OTA partitions, runtime logs, filesystem management and factory reset.</w:t>
      </w:r>
    </w:p>
    <w:p>
      <w:pPr>
        <w:pStyle w:val="ListBullet"/>
        <w:ind w:left="540" w:hanging="271"/>
      </w:pPr>
      <w:r>
        <w:rPr>
          <w:rFonts w:ascii="Arial" w:hAnsi="Arial" w:eastAsia="Arial Unicode MS" w:cs="Arial"/>
          <w:color w:val="243442"/>
          <w:sz w:val="22"/>
        </w:rPr>
        <w:t>External LoRa antenna; internal Wi-Fi antenna and internal 4G antenna when 4G is fitted.</w:t>
      </w:r>
    </w:p>
    <w:p>
      <w:pPr>
        <w:pStyle w:val="ListBullet"/>
        <w:ind w:left="540" w:hanging="271"/>
      </w:pPr>
      <w:r>
        <w:rPr>
          <w:rFonts w:ascii="Arial" w:hAnsi="Arial" w:eastAsia="Arial Unicode MS" w:cs="Arial"/>
          <w:color w:val="243442"/>
          <w:sz w:val="22"/>
        </w:rPr>
        <w:t xml:space="preserve">Type-C and 5–24 V DC input on all variants; PoE when the 4G option code is </w:t>
      </w:r>
      <w:r>
        <w:rPr>
          <w:rFonts w:ascii="Menlo" w:hAnsi="Menlo" w:eastAsia="Arial Unicode MS" w:cs="Menlo"/>
          <w:color w:val="18324A"/>
          <w:sz w:val="21"/>
        </w:rPr>
        <w:t>G</w:t>
      </w:r>
      <w:r>
        <w:rPr>
          <w:rFonts w:ascii="Arial" w:hAnsi="Arial" w:eastAsia="Arial Unicode MS" w:cs="Arial"/>
          <w:color w:val="243442"/>
          <w:sz w:val="22"/>
        </w:rPr>
        <w:t>.</w:t>
      </w:r>
    </w:p>
    <w:p>
      <w:pPr>
        <w:pStyle w:val="Heading2"/>
      </w:pPr>
      <w:r>
        <w:rPr>
          <w:rFonts w:ascii="Arial" w:hAnsi="Arial" w:eastAsia="Arial Unicode MS" w:cs="Arial"/>
          <w:color w:val="1E6F9F"/>
          <w:sz w:val="26"/>
        </w:rPr>
        <w:t>Technical specifications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720"/>
        <w:gridCol w:w="1500"/>
        <w:gridCol w:w="1170"/>
        <w:gridCol w:w="1050"/>
        <w:gridCol w:w="1050"/>
        <w:gridCol w:w="3870"/>
      </w:tblGrid>
      <w:tr>
        <w:trPr>
          <w:cantSplit/>
          <w:tblHeader w:val="true"/>
        </w:trPr>
        <w:tc>
          <w:tcPr>
            <w:tcW w:type="dxa" w:w="72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18324A"/>
          </w:tcPr>
          <w:p>
            <w:pPr>
              <w:spacing w:before="0" w:after="0" w:line="269" w:lineRule="auto"/>
              <w:jc w:val="center"/>
            </w:pPr>
            <w:r>
              <w:rPr>
                <w:b/>
              </w:rPr>
            </w:r>
            <w:r>
              <w:rPr>
                <w:rFonts w:ascii="Arial" w:hAnsi="Arial" w:eastAsia="Arial Unicode MS" w:cs="Arial"/>
                <w:b/>
                <w:color w:val="FFFFFF"/>
                <w:sz w:val="16"/>
              </w:rPr>
              <w:t>Category</w:t>
            </w:r>
          </w:p>
        </w:tc>
        <w:tc>
          <w:tcPr>
            <w:tcW w:type="dxa" w:w="15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18324A"/>
          </w:tcPr>
          <w:p>
            <w:pPr>
              <w:spacing w:before="0" w:after="0" w:line="269" w:lineRule="auto"/>
              <w:jc w:val="center"/>
            </w:pPr>
            <w:r>
              <w:rPr>
                <w:b/>
              </w:rPr>
            </w:r>
            <w:r>
              <w:rPr>
                <w:rFonts w:ascii="Arial" w:hAnsi="Arial" w:eastAsia="Arial Unicode MS" w:cs="Arial"/>
                <w:b/>
                <w:color w:val="FFFFFF"/>
                <w:sz w:val="16"/>
              </w:rPr>
              <w:t>Parameter</w:t>
            </w:r>
          </w:p>
        </w:tc>
        <w:tc>
          <w:tcPr>
            <w:tcW w:type="dxa" w:w="117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18324A"/>
          </w:tcPr>
          <w:p>
            <w:pPr>
              <w:spacing w:before="0" w:after="0" w:line="269" w:lineRule="auto"/>
              <w:jc w:val="center"/>
            </w:pPr>
            <w:r>
              <w:rPr>
                <w:b/>
              </w:rPr>
            </w:r>
            <w:r>
              <w:rPr>
                <w:rFonts w:ascii="Arial" w:hAnsi="Arial" w:eastAsia="Arial Unicode MS" w:cs="Arial"/>
                <w:b/>
                <w:color w:val="FFFFFF"/>
                <w:sz w:val="16"/>
              </w:rPr>
              <w:t>Specification</w:t>
            </w:r>
          </w:p>
        </w:tc>
        <w:tc>
          <w:tcPr>
            <w:tcW w:type="dxa" w:w="105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18324A"/>
          </w:tcPr>
          <w:p>
            <w:pPr>
              <w:spacing w:before="0" w:after="0" w:line="269" w:lineRule="auto"/>
              <w:jc w:val="center"/>
            </w:pPr>
            <w:r>
              <w:rPr>
                <w:b/>
              </w:rPr>
            </w:r>
          </w:p>
        </w:tc>
        <w:tc>
          <w:tcPr>
            <w:tcW w:type="dxa" w:w="105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18324A"/>
          </w:tcPr>
          <w:p>
            <w:pPr>
              <w:spacing w:before="0" w:after="0" w:line="269" w:lineRule="auto"/>
              <w:jc w:val="center"/>
            </w:pPr>
            <w:r>
              <w:rPr>
                <w:b/>
              </w:rPr>
            </w:r>
          </w:p>
        </w:tc>
        <w:tc>
          <w:tcPr>
            <w:tcW w:type="dxa" w:w="387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18324A"/>
          </w:tcPr>
          <w:p>
            <w:pPr>
              <w:spacing w:before="0" w:after="0" w:line="269" w:lineRule="auto"/>
              <w:jc w:val="center"/>
            </w:pPr>
            <w:r>
              <w:rPr>
                <w:b/>
              </w:rPr>
            </w:r>
          </w:p>
        </w:tc>
      </w:tr>
      <w:tr>
        <w:trPr>
          <w:cantSplit/>
        </w:trPr>
        <w:tc>
          <w:tcPr>
            <w:tcW w:type="dxa" w:w="9360"/>
            <w:gridSpan w:val="6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E8F6F4"/>
          </w:tcPr>
          <w:p>
            <w:pPr>
              <w:spacing w:after="0"/>
            </w:pPr>
            <w:r/>
            <w:r>
              <w:rPr>
                <w:rFonts w:ascii="Arial" w:hAnsi="Arial" w:eastAsia="Arial Unicode MS" w:cs="Arial"/>
                <w:b/>
                <w:color w:val="18324A"/>
                <w:sz w:val="18"/>
              </w:rPr>
              <w:t>MODELS AND COMPUTE</w:t>
            </w:r>
          </w:p>
        </w:tc>
      </w:tr>
      <w:tr>
        <w:trPr>
          <w:cantSplit/>
        </w:trPr>
        <w:tc>
          <w:tcPr>
            <w:tcW w:type="dxa" w:w="72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  <w:jc w:val="center"/>
            </w:pPr>
            <w:r/>
          </w:p>
        </w:tc>
        <w:tc>
          <w:tcPr>
            <w:tcW w:type="dxa" w:w="15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6"/>
              </w:rPr>
              <w:t>Product family</w:t>
            </w:r>
          </w:p>
        </w:tc>
        <w:tc>
          <w:tcPr>
            <w:tcW w:type="dxa" w:w="117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  <w:jc w:val="center"/>
            </w:pPr>
            <w:r/>
            <w:r>
              <w:rPr>
                <w:rFonts w:ascii="Arial" w:hAnsi="Arial" w:eastAsia="Arial Unicode MS" w:cs="Arial"/>
                <w:color w:val="243442"/>
                <w:sz w:val="16"/>
              </w:rPr>
              <w:t>GD61x</w:t>
            </w:r>
          </w:p>
        </w:tc>
        <w:tc>
          <w:tcPr>
            <w:tcW w:type="dxa" w:w="105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  <w:jc w:val="center"/>
            </w:pPr>
            <w:r/>
          </w:p>
        </w:tc>
        <w:tc>
          <w:tcPr>
            <w:tcW w:type="dxa" w:w="105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  <w:jc w:val="center"/>
            </w:pPr>
            <w:r/>
          </w:p>
        </w:tc>
        <w:tc>
          <w:tcPr>
            <w:tcW w:type="dxa" w:w="387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</w:p>
        </w:tc>
      </w:tr>
      <w:tr>
        <w:trPr>
          <w:cantSplit/>
        </w:trPr>
        <w:tc>
          <w:tcPr>
            <w:tcW w:type="dxa" w:w="72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  <w:jc w:val="center"/>
            </w:pPr>
            <w:r/>
          </w:p>
        </w:tc>
        <w:tc>
          <w:tcPr>
            <w:tcW w:type="dxa" w:w="15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6"/>
              </w:rPr>
              <w:t>Model-code format</w:t>
            </w:r>
          </w:p>
        </w:tc>
        <w:tc>
          <w:tcPr>
            <w:tcW w:type="dxa" w:w="117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  <w:jc w:val="center"/>
            </w:pPr>
            <w:r/>
            <w:r>
              <w:rPr>
                <w:rFonts w:ascii="Arial" w:hAnsi="Arial" w:eastAsia="Arial Unicode MS" w:cs="Arial"/>
                <w:color w:val="243442"/>
                <w:sz w:val="16"/>
              </w:rPr>
              <w:t>`GD61{4\</w:t>
            </w:r>
          </w:p>
        </w:tc>
        <w:tc>
          <w:tcPr>
            <w:tcW w:type="dxa" w:w="105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  <w:jc w:val="center"/>
            </w:pPr>
            <w:r/>
            <w:r>
              <w:rPr>
                <w:rFonts w:ascii="Arial" w:hAnsi="Arial" w:eastAsia="Arial Unicode MS" w:cs="Arial"/>
                <w:color w:val="243442"/>
                <w:sz w:val="16"/>
              </w:rPr>
              <w:t>8}-A{N\</w:t>
            </w:r>
          </w:p>
        </w:tc>
        <w:tc>
          <w:tcPr>
            <w:tcW w:type="dxa" w:w="105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  <w:jc w:val="center"/>
            </w:pPr>
            <w:r/>
            <w:r>
              <w:rPr>
                <w:rFonts w:ascii="Arial" w:hAnsi="Arial" w:eastAsia="Arial Unicode MS" w:cs="Arial"/>
                <w:color w:val="243442"/>
                <w:sz w:val="16"/>
              </w:rPr>
              <w:t>G}-{regional-standard}-{version-code}-{1\</w:t>
            </w:r>
          </w:p>
        </w:tc>
        <w:tc>
          <w:tcPr>
            <w:tcW w:type="dxa" w:w="387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6"/>
              </w:rPr>
              <w:t>2}`</w:t>
            </w:r>
          </w:p>
        </w:tc>
      </w:tr>
      <w:tr>
        <w:trPr>
          <w:cantSplit/>
        </w:trPr>
        <w:tc>
          <w:tcPr>
            <w:tcW w:type="dxa" w:w="72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  <w:jc w:val="center"/>
            </w:pPr>
            <w:r/>
          </w:p>
        </w:tc>
        <w:tc>
          <w:tcPr>
            <w:tcW w:type="dxa" w:w="15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6"/>
              </w:rPr>
              <w:t>Band variants</w:t>
            </w:r>
          </w:p>
        </w:tc>
        <w:tc>
          <w:tcPr>
            <w:tcW w:type="dxa" w:w="117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  <w:jc w:val="center"/>
            </w:pPr>
            <w:r/>
            <w:r>
              <w:rPr>
                <w:rFonts w:ascii="Arial" w:hAnsi="Arial" w:eastAsia="Arial Unicode MS" w:cs="Arial"/>
                <w:color w:val="243442"/>
                <w:sz w:val="16"/>
              </w:rPr>
              <w:t>GD614 and GD618</w:t>
            </w:r>
          </w:p>
        </w:tc>
        <w:tc>
          <w:tcPr>
            <w:tcW w:type="dxa" w:w="105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  <w:jc w:val="center"/>
            </w:pPr>
            <w:r/>
          </w:p>
        </w:tc>
        <w:tc>
          <w:tcPr>
            <w:tcW w:type="dxa" w:w="105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  <w:jc w:val="center"/>
            </w:pPr>
            <w:r/>
          </w:p>
        </w:tc>
        <w:tc>
          <w:tcPr>
            <w:tcW w:type="dxa" w:w="387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</w:p>
        </w:tc>
      </w:tr>
      <w:tr>
        <w:trPr>
          <w:cantSplit/>
        </w:trPr>
        <w:tc>
          <w:tcPr>
            <w:tcW w:type="dxa" w:w="72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  <w:jc w:val="center"/>
            </w:pPr>
            <w:r/>
          </w:p>
        </w:tc>
        <w:tc>
          <w:tcPr>
            <w:tcW w:type="dxa" w:w="15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6"/>
              </w:rPr>
              <w:t>4G / PoE option</w:t>
            </w:r>
          </w:p>
        </w:tc>
        <w:tc>
          <w:tcPr>
            <w:tcW w:type="dxa" w:w="117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  <w:jc w:val="center"/>
            </w:pPr>
            <w:r/>
            <w:r>
              <w:rPr>
                <w:rFonts w:ascii="Arial" w:hAnsi="Arial" w:eastAsia="Arial Unicode MS" w:cs="Arial"/>
                <w:color w:val="243442"/>
                <w:sz w:val="16"/>
              </w:rPr>
              <w:t>In `-A{N\</w:t>
            </w:r>
          </w:p>
        </w:tc>
        <w:tc>
          <w:tcPr>
            <w:tcW w:type="dxa" w:w="105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  <w:jc w:val="center"/>
            </w:pPr>
            <w:r/>
            <w:r>
              <w:rPr>
                <w:rFonts w:ascii="Arial" w:hAnsi="Arial" w:eastAsia="Arial Unicode MS" w:cs="Arial"/>
                <w:color w:val="243442"/>
                <w:sz w:val="16"/>
              </w:rPr>
              <w:t>G}</w:t>
            </w:r>
            <w:r>
              <w:rPr>
                <w:rFonts w:ascii="Menlo" w:hAnsi="Menlo" w:eastAsia="Arial Unicode MS" w:cs="Menlo"/>
                <w:color w:val="18324A"/>
                <w:sz w:val="17"/>
              </w:rPr>
              <w:t xml:space="preserve">, </w:t>
            </w:r>
            <w:r>
              <w:rPr>
                <w:rFonts w:ascii="Arial" w:hAnsi="Arial" w:eastAsia="Arial Unicode MS" w:cs="Arial"/>
                <w:color w:val="243442"/>
                <w:sz w:val="16"/>
              </w:rPr>
              <w:t>N</w:t>
            </w:r>
            <w:r>
              <w:rPr>
                <w:rFonts w:ascii="Menlo" w:hAnsi="Menlo" w:eastAsia="Arial Unicode MS" w:cs="Menlo"/>
                <w:color w:val="18324A"/>
                <w:sz w:val="17"/>
              </w:rPr>
              <w:t xml:space="preserve"> means no 4G or PoE; </w:t>
            </w:r>
            <w:r>
              <w:rPr>
                <w:rFonts w:ascii="Arial" w:hAnsi="Arial" w:eastAsia="Arial Unicode MS" w:cs="Arial"/>
                <w:color w:val="243442"/>
                <w:sz w:val="16"/>
              </w:rPr>
              <w:t>G` means 4G and PoE are fitted</w:t>
            </w:r>
          </w:p>
        </w:tc>
        <w:tc>
          <w:tcPr>
            <w:tcW w:type="dxa" w:w="105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  <w:jc w:val="center"/>
            </w:pPr>
            <w:r/>
          </w:p>
        </w:tc>
        <w:tc>
          <w:tcPr>
            <w:tcW w:type="dxa" w:w="387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</w:p>
        </w:tc>
      </w:tr>
      <w:tr>
        <w:trPr>
          <w:cantSplit/>
        </w:trPr>
        <w:tc>
          <w:tcPr>
            <w:tcW w:type="dxa" w:w="72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  <w:jc w:val="center"/>
            </w:pPr>
            <w:r/>
          </w:p>
        </w:tc>
        <w:tc>
          <w:tcPr>
            <w:tcW w:type="dxa" w:w="15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6"/>
              </w:rPr>
              <w:t>Version code</w:t>
            </w:r>
          </w:p>
        </w:tc>
        <w:tc>
          <w:tcPr>
            <w:tcW w:type="dxa" w:w="117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  <w:jc w:val="center"/>
            </w:pPr>
            <w:r/>
            <w:r>
              <w:rPr>
                <w:rFonts w:ascii="Menlo" w:hAnsi="Menlo" w:eastAsia="Arial Unicode MS" w:cs="Menlo"/>
                <w:color w:val="18324A"/>
                <w:sz w:val="17"/>
              </w:rPr>
              <w:t>N</w:t>
            </w:r>
            <w:r>
              <w:rPr>
                <w:rFonts w:ascii="Arial" w:hAnsi="Arial" w:eastAsia="Arial Unicode MS" w:cs="Arial"/>
                <w:color w:val="243442"/>
                <w:sz w:val="16"/>
              </w:rPr>
              <w:t>: default version; other values: customer-specific or special versions</w:t>
            </w:r>
          </w:p>
        </w:tc>
        <w:tc>
          <w:tcPr>
            <w:tcW w:type="dxa" w:w="105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  <w:jc w:val="center"/>
            </w:pPr>
            <w:r/>
          </w:p>
        </w:tc>
        <w:tc>
          <w:tcPr>
            <w:tcW w:type="dxa" w:w="105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  <w:jc w:val="center"/>
            </w:pPr>
            <w:r/>
          </w:p>
        </w:tc>
        <w:tc>
          <w:tcPr>
            <w:tcW w:type="dxa" w:w="387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</w:p>
        </w:tc>
      </w:tr>
      <w:tr>
        <w:trPr>
          <w:cantSplit/>
        </w:trPr>
        <w:tc>
          <w:tcPr>
            <w:tcW w:type="dxa" w:w="72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  <w:jc w:val="center"/>
            </w:pPr>
            <w:r/>
          </w:p>
        </w:tc>
        <w:tc>
          <w:tcPr>
            <w:tcW w:type="dxa" w:w="15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6"/>
              </w:rPr>
              <w:t>Controller</w:t>
            </w:r>
          </w:p>
        </w:tc>
        <w:tc>
          <w:tcPr>
            <w:tcW w:type="dxa" w:w="117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  <w:jc w:val="center"/>
            </w:pPr>
            <w:r/>
            <w:r>
              <w:rPr>
                <w:rFonts w:ascii="Arial" w:hAnsi="Arial" w:eastAsia="Arial Unicode MS" w:cs="Arial"/>
                <w:color w:val="243442"/>
                <w:sz w:val="16"/>
              </w:rPr>
              <w:t>ESP32-S3 (ESP32-S3-WROOM-1 N8R8)</w:t>
            </w:r>
          </w:p>
        </w:tc>
        <w:tc>
          <w:tcPr>
            <w:tcW w:type="dxa" w:w="105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  <w:jc w:val="center"/>
            </w:pPr>
            <w:r/>
          </w:p>
        </w:tc>
        <w:tc>
          <w:tcPr>
            <w:tcW w:type="dxa" w:w="105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  <w:jc w:val="center"/>
            </w:pPr>
            <w:r/>
          </w:p>
        </w:tc>
        <w:tc>
          <w:tcPr>
            <w:tcW w:type="dxa" w:w="387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</w:p>
        </w:tc>
      </w:tr>
      <w:tr>
        <w:trPr>
          <w:cantSplit/>
        </w:trPr>
        <w:tc>
          <w:tcPr>
            <w:tcW w:type="dxa" w:w="72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  <w:jc w:val="center"/>
            </w:pPr>
            <w:r/>
          </w:p>
        </w:tc>
        <w:tc>
          <w:tcPr>
            <w:tcW w:type="dxa" w:w="15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6"/>
              </w:rPr>
              <w:t>Flash</w:t>
            </w:r>
          </w:p>
        </w:tc>
        <w:tc>
          <w:tcPr>
            <w:tcW w:type="dxa" w:w="117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  <w:jc w:val="center"/>
            </w:pPr>
            <w:r/>
            <w:r>
              <w:rPr>
                <w:rFonts w:ascii="Arial" w:hAnsi="Arial" w:eastAsia="Arial Unicode MS" w:cs="Arial"/>
                <w:color w:val="243442"/>
                <w:sz w:val="16"/>
              </w:rPr>
              <w:t>8 MB, QIO, 80 MHz</w:t>
            </w:r>
          </w:p>
        </w:tc>
        <w:tc>
          <w:tcPr>
            <w:tcW w:type="dxa" w:w="105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  <w:jc w:val="center"/>
            </w:pPr>
            <w:r/>
          </w:p>
        </w:tc>
        <w:tc>
          <w:tcPr>
            <w:tcW w:type="dxa" w:w="105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  <w:jc w:val="center"/>
            </w:pPr>
            <w:r/>
          </w:p>
        </w:tc>
        <w:tc>
          <w:tcPr>
            <w:tcW w:type="dxa" w:w="387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</w:p>
        </w:tc>
      </w:tr>
      <w:tr>
        <w:trPr>
          <w:cantSplit/>
        </w:trPr>
        <w:tc>
          <w:tcPr>
            <w:tcW w:type="dxa" w:w="72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  <w:jc w:val="center"/>
            </w:pPr>
            <w:r/>
          </w:p>
        </w:tc>
        <w:tc>
          <w:tcPr>
            <w:tcW w:type="dxa" w:w="15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6"/>
              </w:rPr>
              <w:t>PSRAM</w:t>
            </w:r>
          </w:p>
        </w:tc>
        <w:tc>
          <w:tcPr>
            <w:tcW w:type="dxa" w:w="117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  <w:jc w:val="center"/>
            </w:pPr>
            <w:r/>
            <w:r>
              <w:rPr>
                <w:rFonts w:ascii="Arial" w:hAnsi="Arial" w:eastAsia="Arial Unicode MS" w:cs="Arial"/>
                <w:color w:val="243442"/>
                <w:sz w:val="16"/>
              </w:rPr>
              <w:t>8 MB Octal PSRAM, 80 MHz</w:t>
            </w:r>
          </w:p>
        </w:tc>
        <w:tc>
          <w:tcPr>
            <w:tcW w:type="dxa" w:w="105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  <w:jc w:val="center"/>
            </w:pPr>
            <w:r/>
          </w:p>
        </w:tc>
        <w:tc>
          <w:tcPr>
            <w:tcW w:type="dxa" w:w="105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  <w:jc w:val="center"/>
            </w:pPr>
            <w:r/>
          </w:p>
        </w:tc>
        <w:tc>
          <w:tcPr>
            <w:tcW w:type="dxa" w:w="387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</w:p>
        </w:tc>
      </w:tr>
      <w:tr>
        <w:trPr>
          <w:cantSplit/>
        </w:trPr>
        <w:tc>
          <w:tcPr>
            <w:tcW w:type="dxa" w:w="72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  <w:jc w:val="center"/>
            </w:pPr>
            <w:r/>
          </w:p>
        </w:tc>
        <w:tc>
          <w:tcPr>
            <w:tcW w:type="dxa" w:w="15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6"/>
              </w:rPr>
              <w:t>Configuration storage</w:t>
            </w:r>
          </w:p>
        </w:tc>
        <w:tc>
          <w:tcPr>
            <w:tcW w:type="dxa" w:w="117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  <w:jc w:val="center"/>
            </w:pPr>
            <w:r/>
            <w:r>
              <w:rPr>
                <w:rFonts w:ascii="Arial" w:hAnsi="Arial" w:eastAsia="Arial Unicode MS" w:cs="Arial"/>
                <w:color w:val="243442"/>
                <w:sz w:val="16"/>
              </w:rPr>
              <w:t>SPIFFS; settings persist through power loss</w:t>
            </w:r>
          </w:p>
        </w:tc>
        <w:tc>
          <w:tcPr>
            <w:tcW w:type="dxa" w:w="105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  <w:jc w:val="center"/>
            </w:pPr>
            <w:r/>
          </w:p>
        </w:tc>
        <w:tc>
          <w:tcPr>
            <w:tcW w:type="dxa" w:w="105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  <w:jc w:val="center"/>
            </w:pPr>
            <w:r/>
          </w:p>
        </w:tc>
        <w:tc>
          <w:tcPr>
            <w:tcW w:type="dxa" w:w="387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</w:p>
        </w:tc>
      </w:tr>
    </w:tbl>
    <w:p>
      <w:pPr>
        <w:spacing w:after="40"/>
      </w:pP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2000"/>
        <w:gridCol w:w="2250"/>
        <w:gridCol w:w="5110"/>
      </w:tblGrid>
      <w:tr>
        <w:trPr>
          <w:cantSplit/>
          <w:tblHeader w:val="true"/>
        </w:trPr>
        <w:tc>
          <w:tcPr>
            <w:tcW w:type="dxa" w:w="20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18324A"/>
          </w:tcPr>
          <w:p>
            <w:pPr>
              <w:spacing w:before="0" w:after="0" w:line="269" w:lineRule="auto"/>
              <w:jc w:val="center"/>
            </w:pPr>
            <w:r>
              <w:rPr>
                <w:b/>
              </w:rPr>
            </w:r>
            <w:r>
              <w:rPr>
                <w:rFonts w:ascii="Arial" w:hAnsi="Arial" w:eastAsia="Arial Unicode MS" w:cs="Arial"/>
                <w:b/>
                <w:color w:val="FFFFFF"/>
                <w:sz w:val="18"/>
              </w:rPr>
              <w:t>Category</w:t>
            </w:r>
          </w:p>
        </w:tc>
        <w:tc>
          <w:tcPr>
            <w:tcW w:type="dxa" w:w="225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18324A"/>
          </w:tcPr>
          <w:p>
            <w:pPr>
              <w:spacing w:before="0" w:after="0" w:line="269" w:lineRule="auto"/>
              <w:jc w:val="center"/>
            </w:pPr>
            <w:r>
              <w:rPr>
                <w:b/>
              </w:rPr>
            </w:r>
            <w:r>
              <w:rPr>
                <w:rFonts w:ascii="Arial" w:hAnsi="Arial" w:eastAsia="Arial Unicode MS" w:cs="Arial"/>
                <w:b/>
                <w:color w:val="FFFFFF"/>
                <w:sz w:val="18"/>
              </w:rPr>
              <w:t>Parameter</w:t>
            </w:r>
          </w:p>
        </w:tc>
        <w:tc>
          <w:tcPr>
            <w:tcW w:type="dxa" w:w="511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18324A"/>
          </w:tcPr>
          <w:p>
            <w:pPr>
              <w:spacing w:before="0" w:after="0" w:line="269" w:lineRule="auto"/>
              <w:jc w:val="center"/>
            </w:pPr>
            <w:r>
              <w:rPr>
                <w:b/>
              </w:rPr>
            </w:r>
            <w:r>
              <w:rPr>
                <w:rFonts w:ascii="Arial" w:hAnsi="Arial" w:eastAsia="Arial Unicode MS" w:cs="Arial"/>
                <w:b/>
                <w:color w:val="FFFFFF"/>
                <w:sz w:val="18"/>
              </w:rPr>
              <w:t>Specification</w:t>
            </w:r>
          </w:p>
        </w:tc>
      </w:tr>
      <w:tr>
        <w:trPr>
          <w:cantSplit/>
        </w:trPr>
        <w:tc>
          <w:tcPr>
            <w:tcW w:type="dxa" w:w="9360"/>
            <w:gridSpan w:val="3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E8F6F4"/>
          </w:tcPr>
          <w:p>
            <w:pPr>
              <w:spacing w:after="0"/>
            </w:pPr>
            <w:r/>
            <w:r>
              <w:rPr>
                <w:rFonts w:ascii="Arial" w:hAnsi="Arial" w:eastAsia="Arial Unicode MS" w:cs="Arial"/>
                <w:b/>
                <w:color w:val="18324A"/>
                <w:sz w:val="18"/>
              </w:rPr>
              <w:t>LORAWAN</w:t>
            </w:r>
          </w:p>
        </w:tc>
      </w:tr>
      <w:tr>
        <w:trPr>
          <w:cantSplit/>
        </w:trPr>
        <w:tc>
          <w:tcPr>
            <w:tcW w:type="dxa" w:w="20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</w:p>
        </w:tc>
        <w:tc>
          <w:tcPr>
            <w:tcW w:type="dxa" w:w="225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Concentrator</w:t>
            </w:r>
          </w:p>
        </w:tc>
        <w:tc>
          <w:tcPr>
            <w:tcW w:type="dxa" w:w="511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 xml:space="preserve">Model suffix </w:t>
            </w:r>
            <w:r>
              <w:rPr>
                <w:rFonts w:ascii="Menlo" w:hAnsi="Menlo" w:eastAsia="Arial Unicode MS" w:cs="Menlo"/>
                <w:color w:val="18324A"/>
                <w:sz w:val="17"/>
              </w:rPr>
              <w:t>1</w:t>
            </w:r>
            <w:r>
              <w:rPr>
                <w:rFonts w:ascii="Arial" w:hAnsi="Arial" w:eastAsia="Arial Unicode MS" w:cs="Arial"/>
                <w:color w:val="243442"/>
                <w:sz w:val="18"/>
              </w:rPr>
              <w:t xml:space="preserve">: Semtech SX1301; model suffix </w:t>
            </w:r>
            <w:r>
              <w:rPr>
                <w:rFonts w:ascii="Menlo" w:hAnsi="Menlo" w:eastAsia="Arial Unicode MS" w:cs="Menlo"/>
                <w:color w:val="18324A"/>
                <w:sz w:val="17"/>
              </w:rPr>
              <w:t>2</w:t>
            </w:r>
            <w:r>
              <w:rPr>
                <w:rFonts w:ascii="Arial" w:hAnsi="Arial" w:eastAsia="Arial Unicode MS" w:cs="Arial"/>
                <w:color w:val="243442"/>
                <w:sz w:val="18"/>
              </w:rPr>
              <w:t>: Semtech SX1302</w:t>
            </w:r>
          </w:p>
        </w:tc>
      </w:tr>
      <w:tr>
        <w:trPr>
          <w:cantSplit/>
        </w:trPr>
        <w:tc>
          <w:tcPr>
            <w:tcW w:type="dxa" w:w="20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</w:p>
        </w:tc>
        <w:tc>
          <w:tcPr>
            <w:tcW w:type="dxa" w:w="225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LoRa architecture</w:t>
            </w:r>
          </w:p>
        </w:tc>
        <w:tc>
          <w:tcPr>
            <w:tcW w:type="dxa" w:w="511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  <w:r>
              <w:rPr>
                <w:rFonts w:ascii="Menlo" w:hAnsi="Menlo" w:eastAsia="Arial Unicode MS" w:cs="Menlo"/>
                <w:color w:val="18324A"/>
                <w:sz w:val="17"/>
              </w:rPr>
              <w:t>A</w:t>
            </w:r>
            <w:r>
              <w:rPr>
                <w:rFonts w:ascii="Arial" w:hAnsi="Arial" w:eastAsia="Arial Unicode MS" w:cs="Arial"/>
                <w:color w:val="243442"/>
                <w:sz w:val="18"/>
              </w:rPr>
              <w:t>: one LoRa antenna, 8 frequency points, 65 channels, half-duplex</w:t>
            </w:r>
          </w:p>
        </w:tc>
      </w:tr>
      <w:tr>
        <w:trPr>
          <w:cantSplit/>
        </w:trPr>
        <w:tc>
          <w:tcPr>
            <w:tcW w:type="dxa" w:w="20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</w:p>
        </w:tc>
        <w:tc>
          <w:tcPr>
            <w:tcW w:type="dxa" w:w="225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Model and RF range</w:t>
            </w:r>
          </w:p>
        </w:tc>
        <w:tc>
          <w:tcPr>
            <w:tcW w:type="dxa" w:w="511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GD614: 400 MHz class; GD618: 800 MHz and above; the model number does not indicate channel count</w:t>
            </w:r>
          </w:p>
        </w:tc>
      </w:tr>
      <w:tr>
        <w:trPr>
          <w:cantSplit/>
        </w:trPr>
        <w:tc>
          <w:tcPr>
            <w:tcW w:type="dxa" w:w="20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</w:p>
        </w:tc>
        <w:tc>
          <w:tcPr>
            <w:tcW w:type="dxa" w:w="225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Channel bandwidth</w:t>
            </w:r>
          </w:p>
        </w:tc>
        <w:tc>
          <w:tcPr>
            <w:tcW w:type="dxa" w:w="511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Multi-SF channels default to 125 kHz; the LoRa Std channel is configurable</w:t>
            </w:r>
          </w:p>
        </w:tc>
      </w:tr>
      <w:tr>
        <w:trPr>
          <w:cantSplit/>
        </w:trPr>
        <w:tc>
          <w:tcPr>
            <w:tcW w:type="dxa" w:w="20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</w:p>
        </w:tc>
        <w:tc>
          <w:tcPr>
            <w:tcW w:type="dxa" w:w="225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Regional plans</w:t>
            </w:r>
          </w:p>
        </w:tc>
        <w:tc>
          <w:tcPr>
            <w:tcW w:type="dxa" w:w="511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GD614: CN470 and EU433; GD618: EU868, AS923, AU915 and US902; the ordered RF hardware and local regulations must match</w:t>
            </w:r>
          </w:p>
        </w:tc>
      </w:tr>
      <w:tr>
        <w:trPr>
          <w:cantSplit/>
        </w:trPr>
        <w:tc>
          <w:tcPr>
            <w:tcW w:type="dxa" w:w="20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</w:p>
        </w:tc>
        <w:tc>
          <w:tcPr>
            <w:tcW w:type="dxa" w:w="225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Uplink protocols</w:t>
            </w:r>
          </w:p>
        </w:tc>
        <w:tc>
          <w:tcPr>
            <w:tcW w:type="dxa" w:w="511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Semtech UDP Packet Forwarder, Basic Station and MQTT Bridge</w:t>
            </w:r>
          </w:p>
        </w:tc>
      </w:tr>
      <w:tr>
        <w:trPr>
          <w:cantSplit/>
        </w:trPr>
        <w:tc>
          <w:tcPr>
            <w:tcW w:type="dxa" w:w="20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</w:p>
        </w:tc>
        <w:tc>
          <w:tcPr>
            <w:tcW w:type="dxa" w:w="225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Basic Station</w:t>
            </w:r>
          </w:p>
        </w:tc>
        <w:tc>
          <w:tcPr>
            <w:tcW w:type="dxa" w:w="511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Direct LNS or CUPS bootstrap; TLS, token or client certificate</w:t>
            </w:r>
          </w:p>
        </w:tc>
      </w:tr>
      <w:tr>
        <w:trPr>
          <w:cantSplit/>
        </w:trPr>
        <w:tc>
          <w:tcPr>
            <w:tcW w:type="dxa" w:w="20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</w:p>
        </w:tc>
        <w:tc>
          <w:tcPr>
            <w:tcW w:type="dxa" w:w="225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Antenna</w:t>
            </w:r>
          </w:p>
        </w:tc>
        <w:tc>
          <w:tcPr>
            <w:tcW w:type="dxa" w:w="511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One external LoRa antenna connector; supplied omnidirectional antenna depends on configuration</w:t>
            </w:r>
          </w:p>
        </w:tc>
      </w:tr>
      <w:tr>
        <w:trPr>
          <w:cantSplit/>
        </w:trPr>
        <w:tc>
          <w:tcPr>
            <w:tcW w:type="dxa" w:w="20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</w:p>
        </w:tc>
        <w:tc>
          <w:tcPr>
            <w:tcW w:type="dxa" w:w="225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TX power/sensitivity</w:t>
            </w:r>
          </w:p>
        </w:tc>
        <w:tc>
          <w:tcPr>
            <w:tcW w:type="dxa" w:w="511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Determined by the ordered regional RF front end and antenna; no single value is declared in this guide</w:t>
            </w:r>
          </w:p>
        </w:tc>
      </w:tr>
    </w:tbl>
    <w:p>
      <w:pPr>
        <w:spacing w:after="40"/>
      </w:pP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2000"/>
        <w:gridCol w:w="2250"/>
        <w:gridCol w:w="5110"/>
      </w:tblGrid>
      <w:tr>
        <w:trPr>
          <w:cantSplit/>
          <w:tblHeader w:val="true"/>
        </w:trPr>
        <w:tc>
          <w:tcPr>
            <w:tcW w:type="dxa" w:w="20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18324A"/>
          </w:tcPr>
          <w:p>
            <w:pPr>
              <w:spacing w:before="0" w:after="0" w:line="269" w:lineRule="auto"/>
              <w:jc w:val="center"/>
            </w:pPr>
            <w:r>
              <w:rPr>
                <w:b/>
              </w:rPr>
            </w:r>
            <w:r>
              <w:rPr>
                <w:rFonts w:ascii="Arial" w:hAnsi="Arial" w:eastAsia="Arial Unicode MS" w:cs="Arial"/>
                <w:b/>
                <w:color w:val="FFFFFF"/>
                <w:sz w:val="18"/>
              </w:rPr>
              <w:t>Category</w:t>
            </w:r>
          </w:p>
        </w:tc>
        <w:tc>
          <w:tcPr>
            <w:tcW w:type="dxa" w:w="225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18324A"/>
          </w:tcPr>
          <w:p>
            <w:pPr>
              <w:spacing w:before="0" w:after="0" w:line="269" w:lineRule="auto"/>
              <w:jc w:val="center"/>
            </w:pPr>
            <w:r>
              <w:rPr>
                <w:b/>
              </w:rPr>
            </w:r>
            <w:r>
              <w:rPr>
                <w:rFonts w:ascii="Arial" w:hAnsi="Arial" w:eastAsia="Arial Unicode MS" w:cs="Arial"/>
                <w:b/>
                <w:color w:val="FFFFFF"/>
                <w:sz w:val="18"/>
              </w:rPr>
              <w:t>Parameter</w:t>
            </w:r>
          </w:p>
        </w:tc>
        <w:tc>
          <w:tcPr>
            <w:tcW w:type="dxa" w:w="511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18324A"/>
          </w:tcPr>
          <w:p>
            <w:pPr>
              <w:spacing w:before="0" w:after="0" w:line="269" w:lineRule="auto"/>
              <w:jc w:val="center"/>
            </w:pPr>
            <w:r>
              <w:rPr>
                <w:b/>
              </w:rPr>
            </w:r>
            <w:r>
              <w:rPr>
                <w:rFonts w:ascii="Arial" w:hAnsi="Arial" w:eastAsia="Arial Unicode MS" w:cs="Arial"/>
                <w:b/>
                <w:color w:val="FFFFFF"/>
                <w:sz w:val="18"/>
              </w:rPr>
              <w:t>Specification</w:t>
            </w:r>
          </w:p>
        </w:tc>
      </w:tr>
      <w:tr>
        <w:trPr>
          <w:cantSplit/>
        </w:trPr>
        <w:tc>
          <w:tcPr>
            <w:tcW w:type="dxa" w:w="9360"/>
            <w:gridSpan w:val="3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E8F6F4"/>
          </w:tcPr>
          <w:p>
            <w:pPr>
              <w:spacing w:after="0"/>
            </w:pPr>
            <w:r/>
            <w:r>
              <w:rPr>
                <w:rFonts w:ascii="Arial" w:hAnsi="Arial" w:eastAsia="Arial Unicode MS" w:cs="Arial"/>
                <w:b/>
                <w:color w:val="18324A"/>
                <w:sz w:val="18"/>
              </w:rPr>
              <w:t>NETWORK AND BACKHAUL</w:t>
            </w:r>
          </w:p>
        </w:tc>
      </w:tr>
      <w:tr>
        <w:trPr>
          <w:cantSplit/>
        </w:trPr>
        <w:tc>
          <w:tcPr>
            <w:tcW w:type="dxa" w:w="20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</w:p>
        </w:tc>
        <w:tc>
          <w:tcPr>
            <w:tcW w:type="dxa" w:w="225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Ethernet</w:t>
            </w:r>
          </w:p>
        </w:tc>
        <w:tc>
          <w:tcPr>
            <w:tcW w:type="dxa" w:w="511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W5500, 10/100 Mbps, RJ45</w:t>
            </w:r>
          </w:p>
        </w:tc>
      </w:tr>
      <w:tr>
        <w:trPr>
          <w:cantSplit/>
        </w:trPr>
        <w:tc>
          <w:tcPr>
            <w:tcW w:type="dxa" w:w="20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</w:p>
        </w:tc>
        <w:tc>
          <w:tcPr>
            <w:tcW w:type="dxa" w:w="225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Ethernet addressing</w:t>
            </w:r>
          </w:p>
        </w:tc>
        <w:tc>
          <w:tcPr>
            <w:tcW w:type="dxa" w:w="511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DHCP or static IPv4 with gateway and primary/secondary DNS</w:t>
            </w:r>
          </w:p>
        </w:tc>
      </w:tr>
      <w:tr>
        <w:trPr>
          <w:cantSplit/>
        </w:trPr>
        <w:tc>
          <w:tcPr>
            <w:tcW w:type="dxa" w:w="20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</w:p>
        </w:tc>
        <w:tc>
          <w:tcPr>
            <w:tcW w:type="dxa" w:w="225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Wi-Fi</w:t>
            </w:r>
          </w:p>
        </w:tc>
        <w:tc>
          <w:tcPr>
            <w:tcW w:type="dxa" w:w="511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ESP32-S3 integrated 2.4 GHz Wi-Fi, AP + STA</w:t>
            </w:r>
          </w:p>
        </w:tc>
      </w:tr>
      <w:tr>
        <w:trPr>
          <w:cantSplit/>
        </w:trPr>
        <w:tc>
          <w:tcPr>
            <w:tcW w:type="dxa" w:w="20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</w:p>
        </w:tc>
        <w:tc>
          <w:tcPr>
            <w:tcW w:type="dxa" w:w="225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Default Wi-Fi AP</w:t>
            </w:r>
          </w:p>
        </w:tc>
        <w:tc>
          <w:tcPr>
            <w:tcW w:type="dxa" w:w="511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 xml:space="preserve">SSID: </w:t>
            </w:r>
            <w:r>
              <w:rPr>
                <w:rFonts w:ascii="Menlo" w:hAnsi="Menlo" w:eastAsia="Arial Unicode MS" w:cs="Menlo"/>
                <w:color w:val="18324A"/>
                <w:sz w:val="17"/>
              </w:rPr>
              <w:t>LGW-Config</w:t>
            </w:r>
            <w:r>
              <w:rPr>
                <w:rFonts w:ascii="Arial" w:hAnsi="Arial" w:eastAsia="Arial Unicode MS" w:cs="Arial"/>
                <w:color w:val="243442"/>
                <w:sz w:val="18"/>
              </w:rPr>
              <w:t xml:space="preserve">; password: </w:t>
            </w:r>
            <w:r>
              <w:rPr>
                <w:rFonts w:ascii="Menlo" w:hAnsi="Menlo" w:eastAsia="Arial Unicode MS" w:cs="Menlo"/>
                <w:color w:val="18324A"/>
                <w:sz w:val="17"/>
              </w:rPr>
              <w:t>lgw12345678</w:t>
            </w:r>
            <w:r>
              <w:rPr>
                <w:rFonts w:ascii="Arial" w:hAnsi="Arial" w:eastAsia="Arial Unicode MS" w:cs="Arial"/>
                <w:color w:val="243442"/>
                <w:sz w:val="18"/>
              </w:rPr>
              <w:t xml:space="preserve">; management address: </w:t>
            </w:r>
            <w:r>
              <w:rPr>
                <w:rFonts w:ascii="Menlo" w:hAnsi="Menlo" w:eastAsia="Arial Unicode MS" w:cs="Menlo"/>
                <w:color w:val="18324A"/>
                <w:sz w:val="17"/>
              </w:rPr>
              <w:t>192.168.4.1</w:t>
            </w:r>
          </w:p>
        </w:tc>
      </w:tr>
      <w:tr>
        <w:trPr>
          <w:cantSplit/>
        </w:trPr>
        <w:tc>
          <w:tcPr>
            <w:tcW w:type="dxa" w:w="20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</w:p>
        </w:tc>
        <w:tc>
          <w:tcPr>
            <w:tcW w:type="dxa" w:w="225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4G option</w:t>
            </w:r>
          </w:p>
        </w:tc>
        <w:tc>
          <w:tcPr>
            <w:tcW w:type="dxa" w:w="511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 xml:space="preserve">Fitted when the 4G option code is </w:t>
            </w:r>
            <w:r>
              <w:rPr>
                <w:rFonts w:ascii="Menlo" w:hAnsi="Menlo" w:eastAsia="Arial Unicode MS" w:cs="Menlo"/>
                <w:color w:val="18324A"/>
                <w:sz w:val="17"/>
              </w:rPr>
              <w:t>G</w:t>
            </w:r>
            <w:r>
              <w:rPr>
                <w:rFonts w:ascii="Arial" w:hAnsi="Arial" w:eastAsia="Arial Unicode MS" w:cs="Arial"/>
                <w:color w:val="243442"/>
                <w:sz w:val="18"/>
              </w:rPr>
              <w:t xml:space="preserve">; omitted when it is </w:t>
            </w:r>
            <w:r>
              <w:rPr>
                <w:rFonts w:ascii="Menlo" w:hAnsi="Menlo" w:eastAsia="Arial Unicode MS" w:cs="Menlo"/>
                <w:color w:val="18324A"/>
                <w:sz w:val="17"/>
              </w:rPr>
              <w:t>N</w:t>
            </w:r>
          </w:p>
        </w:tc>
      </w:tr>
      <w:tr>
        <w:trPr>
          <w:cantSplit/>
        </w:trPr>
        <w:tc>
          <w:tcPr>
            <w:tcW w:type="dxa" w:w="20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</w:p>
        </w:tc>
        <w:tc>
          <w:tcPr>
            <w:tcW w:type="dxa" w:w="225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4G interface</w:t>
            </w:r>
          </w:p>
        </w:tc>
        <w:tc>
          <w:tcPr>
            <w:tcW w:type="dxa" w:w="511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miniPCIe on configurations with 4G; the modem can be replaced for different operator bands</w:t>
            </w:r>
          </w:p>
        </w:tc>
      </w:tr>
      <w:tr>
        <w:trPr>
          <w:cantSplit/>
        </w:trPr>
        <w:tc>
          <w:tcPr>
            <w:tcW w:type="dxa" w:w="20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</w:p>
        </w:tc>
        <w:tc>
          <w:tcPr>
            <w:tcW w:type="dxa" w:w="225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Default 4G class</w:t>
            </w:r>
          </w:p>
        </w:tc>
        <w:tc>
          <w:tcPr>
            <w:tcW w:type="dxa" w:w="511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LTE Cat 1 on configurations with 4G; default modem bands match GDI51</w:t>
            </w:r>
          </w:p>
        </w:tc>
      </w:tr>
      <w:tr>
        <w:trPr>
          <w:cantSplit/>
        </w:trPr>
        <w:tc>
          <w:tcPr>
            <w:tcW w:type="dxa" w:w="20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</w:p>
        </w:tc>
        <w:tc>
          <w:tcPr>
            <w:tcW w:type="dxa" w:w="225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LTE-FDD bands</w:t>
            </w:r>
          </w:p>
        </w:tc>
        <w:tc>
          <w:tcPr>
            <w:tcW w:type="dxa" w:w="511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Default modem with 4G: B1 / B3 / B5 / B8</w:t>
            </w:r>
          </w:p>
        </w:tc>
      </w:tr>
      <w:tr>
        <w:trPr>
          <w:cantSplit/>
        </w:trPr>
        <w:tc>
          <w:tcPr>
            <w:tcW w:type="dxa" w:w="20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</w:p>
        </w:tc>
        <w:tc>
          <w:tcPr>
            <w:tcW w:type="dxa" w:w="225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LTE-TDD bands</w:t>
            </w:r>
          </w:p>
        </w:tc>
        <w:tc>
          <w:tcPr>
            <w:tcW w:type="dxa" w:w="511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Default modem with 4G: B34 / B38 / B39 / B40 / B41</w:t>
            </w:r>
          </w:p>
        </w:tc>
      </w:tr>
      <w:tr>
        <w:trPr>
          <w:cantSplit/>
        </w:trPr>
        <w:tc>
          <w:tcPr>
            <w:tcW w:type="dxa" w:w="20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</w:p>
        </w:tc>
        <w:tc>
          <w:tcPr>
            <w:tcW w:type="dxa" w:w="225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SIM</w:t>
            </w:r>
          </w:p>
        </w:tc>
        <w:tc>
          <w:tcPr>
            <w:tcW w:type="dxa" w:w="511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External SIM slot on configurations with 4G</w:t>
            </w:r>
          </w:p>
        </w:tc>
      </w:tr>
      <w:tr>
        <w:trPr>
          <w:cantSplit/>
        </w:trPr>
        <w:tc>
          <w:tcPr>
            <w:tcW w:type="dxa" w:w="20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</w:p>
        </w:tc>
        <w:tc>
          <w:tcPr>
            <w:tcW w:type="dxa" w:w="225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Link selection</w:t>
            </w:r>
          </w:p>
        </w:tc>
        <w:tc>
          <w:tcPr>
            <w:tcW w:type="dxa" w:w="511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Automatic Ethernet/Wi-Fi STA failover; configurations with 4G add cellular backhaul; Ethernet is preferred by default</w:t>
            </w:r>
          </w:p>
        </w:tc>
      </w:tr>
    </w:tbl>
    <w:p>
      <w:pPr>
        <w:spacing w:after="40"/>
      </w:pP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2000"/>
        <w:gridCol w:w="2250"/>
        <w:gridCol w:w="5110"/>
      </w:tblGrid>
      <w:tr>
        <w:trPr>
          <w:cantSplit/>
          <w:tblHeader w:val="true"/>
        </w:trPr>
        <w:tc>
          <w:tcPr>
            <w:tcW w:type="dxa" w:w="20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18324A"/>
          </w:tcPr>
          <w:p>
            <w:pPr>
              <w:spacing w:before="0" w:after="0" w:line="269" w:lineRule="auto"/>
              <w:jc w:val="center"/>
            </w:pPr>
            <w:r>
              <w:rPr>
                <w:b/>
              </w:rPr>
            </w:r>
            <w:r>
              <w:rPr>
                <w:rFonts w:ascii="Arial" w:hAnsi="Arial" w:eastAsia="Arial Unicode MS" w:cs="Arial"/>
                <w:b/>
                <w:color w:val="FFFFFF"/>
                <w:sz w:val="18"/>
              </w:rPr>
              <w:t>Category</w:t>
            </w:r>
          </w:p>
        </w:tc>
        <w:tc>
          <w:tcPr>
            <w:tcW w:type="dxa" w:w="225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18324A"/>
          </w:tcPr>
          <w:p>
            <w:pPr>
              <w:spacing w:before="0" w:after="0" w:line="269" w:lineRule="auto"/>
              <w:jc w:val="center"/>
            </w:pPr>
            <w:r>
              <w:rPr>
                <w:b/>
              </w:rPr>
            </w:r>
            <w:r>
              <w:rPr>
                <w:rFonts w:ascii="Arial" w:hAnsi="Arial" w:eastAsia="Arial Unicode MS" w:cs="Arial"/>
                <w:b/>
                <w:color w:val="FFFFFF"/>
                <w:sz w:val="18"/>
              </w:rPr>
              <w:t>Parameter</w:t>
            </w:r>
          </w:p>
        </w:tc>
        <w:tc>
          <w:tcPr>
            <w:tcW w:type="dxa" w:w="511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18324A"/>
          </w:tcPr>
          <w:p>
            <w:pPr>
              <w:spacing w:before="0" w:after="0" w:line="269" w:lineRule="auto"/>
              <w:jc w:val="center"/>
            </w:pPr>
            <w:r>
              <w:rPr>
                <w:b/>
              </w:rPr>
            </w:r>
            <w:r>
              <w:rPr>
                <w:rFonts w:ascii="Arial" w:hAnsi="Arial" w:eastAsia="Arial Unicode MS" w:cs="Arial"/>
                <w:b/>
                <w:color w:val="FFFFFF"/>
                <w:sz w:val="18"/>
              </w:rPr>
              <w:t>Specification</w:t>
            </w:r>
          </w:p>
        </w:tc>
      </w:tr>
      <w:tr>
        <w:trPr>
          <w:cantSplit/>
        </w:trPr>
        <w:tc>
          <w:tcPr>
            <w:tcW w:type="dxa" w:w="9360"/>
            <w:gridSpan w:val="3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E8F6F4"/>
          </w:tcPr>
          <w:p>
            <w:pPr>
              <w:spacing w:after="0"/>
            </w:pPr>
            <w:r/>
            <w:r>
              <w:rPr>
                <w:rFonts w:ascii="Arial" w:hAnsi="Arial" w:eastAsia="Arial Unicode MS" w:cs="Arial"/>
                <w:b/>
                <w:color w:val="18324A"/>
                <w:sz w:val="18"/>
              </w:rPr>
              <w:t>INTERFACES</w:t>
            </w:r>
          </w:p>
        </w:tc>
      </w:tr>
      <w:tr>
        <w:trPr>
          <w:cantSplit/>
        </w:trPr>
        <w:tc>
          <w:tcPr>
            <w:tcW w:type="dxa" w:w="20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</w:p>
        </w:tc>
        <w:tc>
          <w:tcPr>
            <w:tcW w:type="dxa" w:w="225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LoRa</w:t>
            </w:r>
          </w:p>
        </w:tc>
        <w:tc>
          <w:tcPr>
            <w:tcW w:type="dxa" w:w="511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External antenna connector</w:t>
            </w:r>
          </w:p>
        </w:tc>
      </w:tr>
      <w:tr>
        <w:trPr>
          <w:cantSplit/>
        </w:trPr>
        <w:tc>
          <w:tcPr>
            <w:tcW w:type="dxa" w:w="20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</w:p>
        </w:tc>
        <w:tc>
          <w:tcPr>
            <w:tcW w:type="dxa" w:w="225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SIM</w:t>
            </w:r>
          </w:p>
        </w:tc>
        <w:tc>
          <w:tcPr>
            <w:tcW w:type="dxa" w:w="511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Front SIM slot for configurations with 4G</w:t>
            </w:r>
          </w:p>
        </w:tc>
      </w:tr>
      <w:tr>
        <w:trPr>
          <w:cantSplit/>
        </w:trPr>
        <w:tc>
          <w:tcPr>
            <w:tcW w:type="dxa" w:w="20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</w:p>
        </w:tc>
        <w:tc>
          <w:tcPr>
            <w:tcW w:type="dxa" w:w="225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REC (Recovery)</w:t>
            </w:r>
          </w:p>
        </w:tc>
        <w:tc>
          <w:tcPr>
            <w:tcW w:type="dxa" w:w="511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Factory-reset button</w:t>
            </w:r>
          </w:p>
        </w:tc>
      </w:tr>
      <w:tr>
        <w:trPr>
          <w:cantSplit/>
        </w:trPr>
        <w:tc>
          <w:tcPr>
            <w:tcW w:type="dxa" w:w="20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</w:p>
        </w:tc>
        <w:tc>
          <w:tcPr>
            <w:tcW w:type="dxa" w:w="225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Type-C</w:t>
            </w:r>
          </w:p>
        </w:tc>
        <w:tc>
          <w:tcPr>
            <w:tcW w:type="dxa" w:w="511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5 V power and local maintenance</w:t>
            </w:r>
          </w:p>
        </w:tc>
      </w:tr>
      <w:tr>
        <w:trPr>
          <w:cantSplit/>
        </w:trPr>
        <w:tc>
          <w:tcPr>
            <w:tcW w:type="dxa" w:w="20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</w:p>
        </w:tc>
        <w:tc>
          <w:tcPr>
            <w:tcW w:type="dxa" w:w="225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RJ45</w:t>
            </w:r>
          </w:p>
        </w:tc>
        <w:tc>
          <w:tcPr>
            <w:tcW w:type="dxa" w:w="511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 xml:space="preserve">Ethernet data on all variants; PoE when the 4G option code is </w:t>
            </w:r>
            <w:r>
              <w:rPr>
                <w:rFonts w:ascii="Menlo" w:hAnsi="Menlo" w:eastAsia="Arial Unicode MS" w:cs="Menlo"/>
                <w:color w:val="18324A"/>
                <w:sz w:val="17"/>
              </w:rPr>
              <w:t>G</w:t>
            </w:r>
          </w:p>
        </w:tc>
      </w:tr>
      <w:tr>
        <w:trPr>
          <w:cantSplit/>
        </w:trPr>
        <w:tc>
          <w:tcPr>
            <w:tcW w:type="dxa" w:w="20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</w:p>
        </w:tc>
        <w:tc>
          <w:tcPr>
            <w:tcW w:type="dxa" w:w="225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Terminal block</w:t>
            </w:r>
          </w:p>
        </w:tc>
        <w:tc>
          <w:tcPr>
            <w:tcW w:type="dxa" w:w="511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  <w:r>
              <w:rPr>
                <w:rFonts w:ascii="Menlo" w:hAnsi="Menlo" w:eastAsia="Arial Unicode MS" w:cs="Menlo"/>
                <w:color w:val="18324A"/>
                <w:sz w:val="17"/>
              </w:rPr>
              <w:t>5–24V</w:t>
            </w:r>
            <w:r>
              <w:rPr>
                <w:rFonts w:ascii="Arial" w:hAnsi="Arial" w:eastAsia="Arial Unicode MS" w:cs="Arial"/>
                <w:color w:val="243442"/>
                <w:sz w:val="18"/>
              </w:rPr>
              <w:t xml:space="preserve">, </w:t>
            </w:r>
            <w:r>
              <w:rPr>
                <w:rFonts w:ascii="Menlo" w:hAnsi="Menlo" w:eastAsia="Arial Unicode MS" w:cs="Menlo"/>
                <w:color w:val="18324A"/>
                <w:sz w:val="17"/>
              </w:rPr>
              <w:t>G</w:t>
            </w:r>
            <w:r>
              <w:rPr>
                <w:rFonts w:ascii="Arial" w:hAnsi="Arial" w:eastAsia="Arial Unicode MS" w:cs="Arial"/>
                <w:color w:val="243442"/>
                <w:sz w:val="18"/>
              </w:rPr>
              <w:t xml:space="preserve">, </w:t>
            </w:r>
            <w:r>
              <w:rPr>
                <w:rFonts w:ascii="Menlo" w:hAnsi="Menlo" w:eastAsia="Arial Unicode MS" w:cs="Menlo"/>
                <w:color w:val="18324A"/>
                <w:sz w:val="17"/>
              </w:rPr>
              <w:t>A+</w:t>
            </w:r>
            <w:r>
              <w:rPr>
                <w:rFonts w:ascii="Arial" w:hAnsi="Arial" w:eastAsia="Arial Unicode MS" w:cs="Arial"/>
                <w:color w:val="243442"/>
                <w:sz w:val="18"/>
              </w:rPr>
              <w:t xml:space="preserve">, </w:t>
            </w:r>
            <w:r>
              <w:rPr>
                <w:rFonts w:ascii="Menlo" w:hAnsi="Menlo" w:eastAsia="Arial Unicode MS" w:cs="Menlo"/>
                <w:color w:val="18324A"/>
                <w:sz w:val="17"/>
              </w:rPr>
              <w:t>B-</w:t>
            </w:r>
          </w:p>
        </w:tc>
      </w:tr>
      <w:tr>
        <w:trPr>
          <w:cantSplit/>
        </w:trPr>
        <w:tc>
          <w:tcPr>
            <w:tcW w:type="dxa" w:w="20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</w:p>
        </w:tc>
        <w:tc>
          <w:tcPr>
            <w:tcW w:type="dxa" w:w="225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RS-485</w:t>
            </w:r>
          </w:p>
        </w:tc>
        <w:tc>
          <w:tcPr>
            <w:tcW w:type="dxa" w:w="511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  <w:r>
              <w:rPr>
                <w:rFonts w:ascii="Menlo" w:hAnsi="Menlo" w:eastAsia="Arial Unicode MS" w:cs="Menlo"/>
                <w:color w:val="18324A"/>
                <w:sz w:val="17"/>
              </w:rPr>
              <w:t>A+</w:t>
            </w:r>
            <w:r>
              <w:rPr>
                <w:rFonts w:ascii="Arial" w:hAnsi="Arial" w:eastAsia="Arial Unicode MS" w:cs="Arial"/>
                <w:color w:val="243442"/>
                <w:sz w:val="18"/>
              </w:rPr>
              <w:t xml:space="preserve"> and </w:t>
            </w:r>
            <w:r>
              <w:rPr>
                <w:rFonts w:ascii="Menlo" w:hAnsi="Menlo" w:eastAsia="Arial Unicode MS" w:cs="Menlo"/>
                <w:color w:val="18324A"/>
                <w:sz w:val="17"/>
              </w:rPr>
              <w:t>B-</w:t>
            </w:r>
            <w:r>
              <w:rPr>
                <w:rFonts w:ascii="Arial" w:hAnsi="Arial" w:eastAsia="Arial Unicode MS" w:cs="Arial"/>
                <w:color w:val="243442"/>
                <w:sz w:val="18"/>
              </w:rPr>
              <w:t xml:space="preserve"> are reserved and have no user function in the current release</w:t>
            </w:r>
          </w:p>
        </w:tc>
      </w:tr>
    </w:tbl>
    <w:p>
      <w:pPr>
        <w:spacing w:after="40"/>
      </w:pP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2000"/>
        <w:gridCol w:w="2250"/>
        <w:gridCol w:w="5110"/>
      </w:tblGrid>
      <w:tr>
        <w:trPr>
          <w:cantSplit/>
          <w:tblHeader w:val="true"/>
        </w:trPr>
        <w:tc>
          <w:tcPr>
            <w:tcW w:type="dxa" w:w="20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18324A"/>
          </w:tcPr>
          <w:p>
            <w:pPr>
              <w:spacing w:before="0" w:after="0" w:line="269" w:lineRule="auto"/>
              <w:jc w:val="center"/>
            </w:pPr>
            <w:r>
              <w:rPr>
                <w:b/>
              </w:rPr>
            </w:r>
            <w:r>
              <w:rPr>
                <w:rFonts w:ascii="Arial" w:hAnsi="Arial" w:eastAsia="Arial Unicode MS" w:cs="Arial"/>
                <w:b/>
                <w:color w:val="FFFFFF"/>
                <w:sz w:val="18"/>
              </w:rPr>
              <w:t>Category</w:t>
            </w:r>
          </w:p>
        </w:tc>
        <w:tc>
          <w:tcPr>
            <w:tcW w:type="dxa" w:w="225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18324A"/>
          </w:tcPr>
          <w:p>
            <w:pPr>
              <w:spacing w:before="0" w:after="0" w:line="269" w:lineRule="auto"/>
              <w:jc w:val="center"/>
            </w:pPr>
            <w:r>
              <w:rPr>
                <w:b/>
              </w:rPr>
            </w:r>
            <w:r>
              <w:rPr>
                <w:rFonts w:ascii="Arial" w:hAnsi="Arial" w:eastAsia="Arial Unicode MS" w:cs="Arial"/>
                <w:b/>
                <w:color w:val="FFFFFF"/>
                <w:sz w:val="18"/>
              </w:rPr>
              <w:t>Parameter</w:t>
            </w:r>
          </w:p>
        </w:tc>
        <w:tc>
          <w:tcPr>
            <w:tcW w:type="dxa" w:w="511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18324A"/>
          </w:tcPr>
          <w:p>
            <w:pPr>
              <w:spacing w:before="0" w:after="0" w:line="269" w:lineRule="auto"/>
              <w:jc w:val="center"/>
            </w:pPr>
            <w:r>
              <w:rPr>
                <w:b/>
              </w:rPr>
            </w:r>
            <w:r>
              <w:rPr>
                <w:rFonts w:ascii="Arial" w:hAnsi="Arial" w:eastAsia="Arial Unicode MS" w:cs="Arial"/>
                <w:b/>
                <w:color w:val="FFFFFF"/>
                <w:sz w:val="18"/>
              </w:rPr>
              <w:t>Specification</w:t>
            </w:r>
          </w:p>
        </w:tc>
      </w:tr>
      <w:tr>
        <w:trPr>
          <w:cantSplit/>
        </w:trPr>
        <w:tc>
          <w:tcPr>
            <w:tcW w:type="dxa" w:w="9360"/>
            <w:gridSpan w:val="3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E8F6F4"/>
          </w:tcPr>
          <w:p>
            <w:pPr>
              <w:spacing w:after="0"/>
            </w:pPr>
            <w:r/>
            <w:r>
              <w:rPr>
                <w:rFonts w:ascii="Arial" w:hAnsi="Arial" w:eastAsia="Arial Unicode MS" w:cs="Arial"/>
                <w:b/>
                <w:color w:val="18324A"/>
                <w:sz w:val="18"/>
              </w:rPr>
              <w:t>POWER</w:t>
            </w:r>
          </w:p>
        </w:tc>
      </w:tr>
      <w:tr>
        <w:trPr>
          <w:cantSplit/>
        </w:trPr>
        <w:tc>
          <w:tcPr>
            <w:tcW w:type="dxa" w:w="20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</w:p>
        </w:tc>
        <w:tc>
          <w:tcPr>
            <w:tcW w:type="dxa" w:w="225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Type-C</w:t>
            </w:r>
          </w:p>
        </w:tc>
        <w:tc>
          <w:tcPr>
            <w:tcW w:type="dxa" w:w="511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5 V DC</w:t>
            </w:r>
          </w:p>
        </w:tc>
      </w:tr>
      <w:tr>
        <w:trPr>
          <w:cantSplit/>
        </w:trPr>
        <w:tc>
          <w:tcPr>
            <w:tcW w:type="dxa" w:w="20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</w:p>
        </w:tc>
        <w:tc>
          <w:tcPr>
            <w:tcW w:type="dxa" w:w="225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DC terminal</w:t>
            </w:r>
          </w:p>
        </w:tc>
        <w:tc>
          <w:tcPr>
            <w:tcW w:type="dxa" w:w="511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5–24 V DC</w:t>
            </w:r>
          </w:p>
        </w:tc>
      </w:tr>
      <w:tr>
        <w:trPr>
          <w:cantSplit/>
        </w:trPr>
        <w:tc>
          <w:tcPr>
            <w:tcW w:type="dxa" w:w="20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</w:p>
        </w:tc>
        <w:tc>
          <w:tcPr>
            <w:tcW w:type="dxa" w:w="225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PoE</w:t>
            </w:r>
          </w:p>
        </w:tc>
        <w:tc>
          <w:tcPr>
            <w:tcW w:type="dxa" w:w="511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 xml:space="preserve">Fitted when the 4G option code is </w:t>
            </w:r>
            <w:r>
              <w:rPr>
                <w:rFonts w:ascii="Menlo" w:hAnsi="Menlo" w:eastAsia="Arial Unicode MS" w:cs="Menlo"/>
                <w:color w:val="18324A"/>
                <w:sz w:val="17"/>
              </w:rPr>
              <w:t>G</w:t>
            </w:r>
            <w:r>
              <w:rPr>
                <w:rFonts w:ascii="Arial" w:hAnsi="Arial" w:eastAsia="Arial Unicode MS" w:cs="Arial"/>
                <w:color w:val="243442"/>
                <w:sz w:val="18"/>
              </w:rPr>
              <w:t>; use PoE equipment matched to the delivered hardware</w:t>
            </w:r>
          </w:p>
        </w:tc>
      </w:tr>
      <w:tr>
        <w:trPr>
          <w:cantSplit/>
        </w:trPr>
        <w:tc>
          <w:tcPr>
            <w:tcW w:type="dxa" w:w="20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</w:p>
        </w:tc>
        <w:tc>
          <w:tcPr>
            <w:tcW w:type="dxa" w:w="225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Multiple power inputs</w:t>
            </w:r>
          </w:p>
        </w:tc>
        <w:tc>
          <w:tcPr>
            <w:tcW w:type="dxa" w:w="511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Do not connect more than one input unless project-specific delivery documents explicitly allow it</w:t>
            </w:r>
          </w:p>
        </w:tc>
      </w:tr>
    </w:tbl>
    <w:p>
      <w:pPr>
        <w:spacing w:after="40"/>
      </w:pP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2000"/>
        <w:gridCol w:w="2250"/>
        <w:gridCol w:w="5110"/>
      </w:tblGrid>
      <w:tr>
        <w:trPr>
          <w:cantSplit/>
          <w:tblHeader w:val="true"/>
        </w:trPr>
        <w:tc>
          <w:tcPr>
            <w:tcW w:type="dxa" w:w="20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18324A"/>
          </w:tcPr>
          <w:p>
            <w:pPr>
              <w:spacing w:before="0" w:after="0" w:line="269" w:lineRule="auto"/>
              <w:jc w:val="center"/>
            </w:pPr>
            <w:r>
              <w:rPr>
                <w:b/>
              </w:rPr>
            </w:r>
            <w:r>
              <w:rPr>
                <w:rFonts w:ascii="Arial" w:hAnsi="Arial" w:eastAsia="Arial Unicode MS" w:cs="Arial"/>
                <w:b/>
                <w:color w:val="FFFFFF"/>
                <w:sz w:val="18"/>
              </w:rPr>
              <w:t>Category</w:t>
            </w:r>
          </w:p>
        </w:tc>
        <w:tc>
          <w:tcPr>
            <w:tcW w:type="dxa" w:w="225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18324A"/>
          </w:tcPr>
          <w:p>
            <w:pPr>
              <w:spacing w:before="0" w:after="0" w:line="269" w:lineRule="auto"/>
              <w:jc w:val="center"/>
            </w:pPr>
            <w:r>
              <w:rPr>
                <w:b/>
              </w:rPr>
            </w:r>
            <w:r>
              <w:rPr>
                <w:rFonts w:ascii="Arial" w:hAnsi="Arial" w:eastAsia="Arial Unicode MS" w:cs="Arial"/>
                <w:b/>
                <w:color w:val="FFFFFF"/>
                <w:sz w:val="18"/>
              </w:rPr>
              <w:t>Parameter</w:t>
            </w:r>
          </w:p>
        </w:tc>
        <w:tc>
          <w:tcPr>
            <w:tcW w:type="dxa" w:w="511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18324A"/>
          </w:tcPr>
          <w:p>
            <w:pPr>
              <w:spacing w:before="0" w:after="0" w:line="269" w:lineRule="auto"/>
              <w:jc w:val="center"/>
            </w:pPr>
            <w:r>
              <w:rPr>
                <w:b/>
              </w:rPr>
            </w:r>
            <w:r>
              <w:rPr>
                <w:rFonts w:ascii="Arial" w:hAnsi="Arial" w:eastAsia="Arial Unicode MS" w:cs="Arial"/>
                <w:b/>
                <w:color w:val="FFFFFF"/>
                <w:sz w:val="18"/>
              </w:rPr>
              <w:t>Specification</w:t>
            </w:r>
          </w:p>
        </w:tc>
      </w:tr>
      <w:tr>
        <w:trPr>
          <w:cantSplit/>
        </w:trPr>
        <w:tc>
          <w:tcPr>
            <w:tcW w:type="dxa" w:w="9360"/>
            <w:gridSpan w:val="3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E8F6F4"/>
          </w:tcPr>
          <w:p>
            <w:pPr>
              <w:spacing w:after="0"/>
            </w:pPr>
            <w:r/>
            <w:r>
              <w:rPr>
                <w:rFonts w:ascii="Arial" w:hAnsi="Arial" w:eastAsia="Arial Unicode MS" w:cs="Arial"/>
                <w:b/>
                <w:color w:val="18324A"/>
                <w:sz w:val="18"/>
              </w:rPr>
              <w:t>SOFTWARE AND MAINTENANCE</w:t>
            </w:r>
          </w:p>
        </w:tc>
      </w:tr>
      <w:tr>
        <w:trPr>
          <w:cantSplit/>
        </w:trPr>
        <w:tc>
          <w:tcPr>
            <w:tcW w:type="dxa" w:w="20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</w:p>
        </w:tc>
        <w:tc>
          <w:tcPr>
            <w:tcW w:type="dxa" w:w="225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Management</w:t>
            </w:r>
          </w:p>
        </w:tc>
        <w:tc>
          <w:tcPr>
            <w:tcW w:type="dxa" w:w="511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Chinese/English Web console, REST API and separate remote MQTT configuration channel</w:t>
            </w:r>
          </w:p>
        </w:tc>
      </w:tr>
      <w:tr>
        <w:trPr>
          <w:cantSplit/>
        </w:trPr>
        <w:tc>
          <w:tcPr>
            <w:tcW w:type="dxa" w:w="20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</w:p>
        </w:tc>
        <w:tc>
          <w:tcPr>
            <w:tcW w:type="dxa" w:w="225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Network time</w:t>
            </w:r>
          </w:p>
        </w:tc>
        <w:tc>
          <w:tcPr>
            <w:tcW w:type="dxa" w:w="511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SNTP with multiple-source retry</w:t>
            </w:r>
          </w:p>
        </w:tc>
      </w:tr>
      <w:tr>
        <w:trPr>
          <w:cantSplit/>
        </w:trPr>
        <w:tc>
          <w:tcPr>
            <w:tcW w:type="dxa" w:w="20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</w:p>
        </w:tc>
        <w:tc>
          <w:tcPr>
            <w:tcW w:type="dxa" w:w="225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Firmware update</w:t>
            </w:r>
          </w:p>
        </w:tc>
        <w:tc>
          <w:tcPr>
            <w:tcW w:type="dxa" w:w="511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Web OTA with A/B application partitions</w:t>
            </w:r>
          </w:p>
        </w:tc>
      </w:tr>
      <w:tr>
        <w:trPr>
          <w:cantSplit/>
        </w:trPr>
        <w:tc>
          <w:tcPr>
            <w:tcW w:type="dxa" w:w="20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</w:p>
        </w:tc>
        <w:tc>
          <w:tcPr>
            <w:tcW w:type="dxa" w:w="225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Logs</w:t>
            </w:r>
          </w:p>
        </w:tc>
        <w:tc>
          <w:tcPr>
            <w:tcW w:type="dxa" w:w="511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Live logs, level/component filters, pause, clear and download</w:t>
            </w:r>
          </w:p>
        </w:tc>
      </w:tr>
      <w:tr>
        <w:trPr>
          <w:cantSplit/>
        </w:trPr>
        <w:tc>
          <w:tcPr>
            <w:tcW w:type="dxa" w:w="20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</w:p>
        </w:tc>
        <w:tc>
          <w:tcPr>
            <w:tcW w:type="dxa" w:w="225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User security</w:t>
            </w:r>
          </w:p>
        </w:tc>
        <w:tc>
          <w:tcPr>
            <w:tcW w:type="dxa" w:w="511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Password login, token authentication and first-login password-change reminder</w:t>
            </w:r>
          </w:p>
        </w:tc>
      </w:tr>
      <w:tr>
        <w:trPr>
          <w:cantSplit/>
        </w:trPr>
        <w:tc>
          <w:tcPr>
            <w:tcW w:type="dxa" w:w="20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</w:p>
        </w:tc>
        <w:tc>
          <w:tcPr>
            <w:tcW w:type="dxa" w:w="225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Factory reset</w:t>
            </w:r>
          </w:p>
        </w:tc>
        <w:tc>
          <w:tcPr>
            <w:tcW w:type="dxa" w:w="511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Restores network and gateway settings and resets the login password; preserves the programmed Gateway EUI</w:t>
            </w:r>
          </w:p>
        </w:tc>
      </w:tr>
    </w:tbl>
    <w:p>
      <w:pPr>
        <w:spacing w:after="40"/>
      </w:pP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2000"/>
        <w:gridCol w:w="2250"/>
        <w:gridCol w:w="5110"/>
      </w:tblGrid>
      <w:tr>
        <w:trPr>
          <w:cantSplit/>
          <w:tblHeader w:val="true"/>
        </w:trPr>
        <w:tc>
          <w:tcPr>
            <w:tcW w:type="dxa" w:w="20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18324A"/>
          </w:tcPr>
          <w:p>
            <w:pPr>
              <w:spacing w:before="0" w:after="0" w:line="269" w:lineRule="auto"/>
              <w:jc w:val="center"/>
            </w:pPr>
            <w:r>
              <w:rPr>
                <w:b/>
              </w:rPr>
            </w:r>
            <w:r>
              <w:rPr>
                <w:rFonts w:ascii="Arial" w:hAnsi="Arial" w:eastAsia="Arial Unicode MS" w:cs="Arial"/>
                <w:b/>
                <w:color w:val="FFFFFF"/>
                <w:sz w:val="18"/>
              </w:rPr>
              <w:t>Category</w:t>
            </w:r>
          </w:p>
        </w:tc>
        <w:tc>
          <w:tcPr>
            <w:tcW w:type="dxa" w:w="225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18324A"/>
          </w:tcPr>
          <w:p>
            <w:pPr>
              <w:spacing w:before="0" w:after="0" w:line="269" w:lineRule="auto"/>
              <w:jc w:val="center"/>
            </w:pPr>
            <w:r>
              <w:rPr>
                <w:b/>
              </w:rPr>
            </w:r>
            <w:r>
              <w:rPr>
                <w:rFonts w:ascii="Arial" w:hAnsi="Arial" w:eastAsia="Arial Unicode MS" w:cs="Arial"/>
                <w:b/>
                <w:color w:val="FFFFFF"/>
                <w:sz w:val="18"/>
              </w:rPr>
              <w:t>Parameter</w:t>
            </w:r>
          </w:p>
        </w:tc>
        <w:tc>
          <w:tcPr>
            <w:tcW w:type="dxa" w:w="511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18324A"/>
          </w:tcPr>
          <w:p>
            <w:pPr>
              <w:spacing w:before="0" w:after="0" w:line="269" w:lineRule="auto"/>
              <w:jc w:val="center"/>
            </w:pPr>
            <w:r>
              <w:rPr>
                <w:b/>
              </w:rPr>
            </w:r>
            <w:r>
              <w:rPr>
                <w:rFonts w:ascii="Arial" w:hAnsi="Arial" w:eastAsia="Arial Unicode MS" w:cs="Arial"/>
                <w:b/>
                <w:color w:val="FFFFFF"/>
                <w:sz w:val="18"/>
              </w:rPr>
              <w:t>Specification</w:t>
            </w:r>
          </w:p>
        </w:tc>
      </w:tr>
      <w:tr>
        <w:trPr>
          <w:cantSplit/>
        </w:trPr>
        <w:tc>
          <w:tcPr>
            <w:tcW w:type="dxa" w:w="9360"/>
            <w:gridSpan w:val="3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E8F6F4"/>
          </w:tcPr>
          <w:p>
            <w:pPr>
              <w:spacing w:after="0"/>
            </w:pPr>
            <w:r/>
            <w:r>
              <w:rPr>
                <w:rFonts w:ascii="Arial" w:hAnsi="Arial" w:eastAsia="Arial Unicode MS" w:cs="Arial"/>
                <w:b/>
                <w:color w:val="18324A"/>
                <w:sz w:val="18"/>
              </w:rPr>
              <w:t>ENCLOSURE AND INSTALLATION</w:t>
            </w:r>
          </w:p>
        </w:tc>
      </w:tr>
      <w:tr>
        <w:trPr>
          <w:cantSplit/>
        </w:trPr>
        <w:tc>
          <w:tcPr>
            <w:tcW w:type="dxa" w:w="20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</w:p>
        </w:tc>
        <w:tc>
          <w:tcPr>
            <w:tcW w:type="dxa" w:w="225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Environment</w:t>
            </w:r>
          </w:p>
        </w:tc>
        <w:tc>
          <w:tcPr>
            <w:tcW w:type="dxa" w:w="511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Indoor</w:t>
            </w:r>
          </w:p>
        </w:tc>
      </w:tr>
      <w:tr>
        <w:trPr>
          <w:cantSplit/>
        </w:trPr>
        <w:tc>
          <w:tcPr>
            <w:tcW w:type="dxa" w:w="20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</w:p>
        </w:tc>
        <w:tc>
          <w:tcPr>
            <w:tcW w:type="dxa" w:w="225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Mounting</w:t>
            </w:r>
          </w:p>
        </w:tc>
        <w:tc>
          <w:tcPr>
            <w:tcW w:type="dxa" w:w="511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Desktop or wall mounting with the rotating bottom bracket</w:t>
            </w:r>
          </w:p>
        </w:tc>
      </w:tr>
      <w:tr>
        <w:trPr>
          <w:cantSplit/>
        </w:trPr>
        <w:tc>
          <w:tcPr>
            <w:tcW w:type="dxa" w:w="20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</w:p>
        </w:tc>
        <w:tc>
          <w:tcPr>
            <w:tcW w:type="dxa" w:w="225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External antenna</w:t>
            </w:r>
          </w:p>
        </w:tc>
        <w:tc>
          <w:tcPr>
            <w:tcW w:type="dxa" w:w="511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LoRa only</w:t>
            </w:r>
          </w:p>
        </w:tc>
      </w:tr>
      <w:tr>
        <w:trPr>
          <w:cantSplit/>
        </w:trPr>
        <w:tc>
          <w:tcPr>
            <w:tcW w:type="dxa" w:w="20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</w:p>
        </w:tc>
        <w:tc>
          <w:tcPr>
            <w:tcW w:type="dxa" w:w="225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Internal antennas</w:t>
            </w:r>
          </w:p>
        </w:tc>
        <w:tc>
          <w:tcPr>
            <w:tcW w:type="dxa" w:w="511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Wi-Fi and, when fitted, 4G</w:t>
            </w:r>
          </w:p>
        </w:tc>
      </w:tr>
      <w:tr>
        <w:trPr>
          <w:cantSplit/>
        </w:trPr>
        <w:tc>
          <w:tcPr>
            <w:tcW w:type="dxa" w:w="20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</w:p>
        </w:tc>
        <w:tc>
          <w:tcPr>
            <w:tcW w:type="dxa" w:w="225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Dimensions, weight, ingress rating and temperature range</w:t>
            </w:r>
          </w:p>
        </w:tc>
        <w:tc>
          <w:tcPr>
            <w:tcW w:type="dxa" w:w="511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Not declared in this revision; use the order or delivery specification for project selection</w:t>
            </w:r>
          </w:p>
        </w:tc>
      </w:tr>
    </w:tbl>
    <w:p>
      <w:pPr>
        <w:spacing w:after="40"/>
      </w:pPr>
    </w:p>
    <w:p>
      <w:pPr>
        <w:pStyle w:val="Heading1"/>
      </w:pPr>
      <w:r>
        <w:rPr>
          <w:rFonts w:ascii="Arial" w:hAnsi="Arial" w:eastAsia="Arial Unicode MS" w:cs="Arial"/>
          <w:color w:val="1E6F9F"/>
          <w:sz w:val="32"/>
        </w:rPr>
        <w:t>Before you begin</w:t>
      </w:r>
    </w:p>
    <w:p>
      <w:r>
        <w:rPr>
          <w:rFonts w:ascii="Arial" w:hAnsi="Arial" w:eastAsia="Arial Unicode MS" w:cs="Arial"/>
          <w:color w:val="243442"/>
          <w:sz w:val="22"/>
        </w:rPr>
        <w:t xml:space="preserve">This guide covers GD61x model identification, interfaces, installation, power-up and hardware precautions. GD614 and GD618 use the same GD6 configuration system; see the </w:t>
      </w:r>
      <w:hyperlink r:id="rId12">
        <w:r>
          <w:rPr>
            <w:rFonts w:ascii="Arial" w:hAnsi="Arial" w:eastAsia="Arial Unicode MS"/>
            <w:color w:val="1E6F9F"/>
            <w:u w:val="single"/>
          </w:rPr>
          <w:t>GD6 Configuration Guide</w:t>
        </w:r>
      </w:hyperlink>
      <w:r>
        <w:rPr>
          <w:rFonts w:ascii="Arial" w:hAnsi="Arial" w:eastAsia="Arial Unicode MS" w:cs="Arial"/>
          <w:color w:val="243442"/>
          <w:sz w:val="22"/>
        </w:rPr>
        <w:t xml:space="preserve"> for Web login, network backhaul, LoRaWAN server, radio and system-maintenance tasks. The </w:t>
      </w:r>
      <w:r>
        <w:rPr>
          <w:rFonts w:ascii="Menlo" w:hAnsi="Menlo" w:eastAsia="Arial Unicode MS" w:cs="Menlo"/>
          <w:color w:val="18324A"/>
          <w:sz w:val="21"/>
        </w:rPr>
        <w:t>4</w:t>
      </w:r>
      <w:r>
        <w:rPr>
          <w:rFonts w:ascii="Arial" w:hAnsi="Arial" w:eastAsia="Arial Unicode MS" w:cs="Arial"/>
          <w:color w:val="243442"/>
          <w:sz w:val="22"/>
        </w:rPr>
        <w:t>/</w:t>
      </w:r>
      <w:r>
        <w:rPr>
          <w:rFonts w:ascii="Menlo" w:hAnsi="Menlo" w:eastAsia="Arial Unicode MS" w:cs="Menlo"/>
          <w:color w:val="18324A"/>
          <w:sz w:val="21"/>
        </w:rPr>
        <w:t>8</w:t>
      </w:r>
      <w:r>
        <w:rPr>
          <w:rFonts w:ascii="Arial" w:hAnsi="Arial" w:eastAsia="Arial Unicode MS" w:cs="Arial"/>
          <w:color w:val="243442"/>
          <w:sz w:val="22"/>
        </w:rPr>
        <w:t xml:space="preserve"> distinction identifies the LoRa RF range, not the channel count: GD614 is the 400 MHz-class version, while GD618 is the 800 MHz-and-above version.</w:t>
      </w:r>
    </w:p>
    <w:p>
      <w:r>
        <w:rPr>
          <w:rFonts w:ascii="Arial" w:hAnsi="Arial" w:eastAsia="Arial Unicode MS" w:cs="Arial"/>
          <w:color w:val="243442"/>
          <w:sz w:val="22"/>
        </w:rPr>
        <w:t>Prepare the following:</w:t>
      </w:r>
    </w:p>
    <w:p>
      <w:pPr>
        <w:pStyle w:val="ListBullet"/>
        <w:ind w:left="540" w:hanging="271"/>
      </w:pPr>
      <w:r>
        <w:rPr>
          <w:rFonts w:ascii="Arial" w:hAnsi="Arial" w:eastAsia="Arial Unicode MS" w:cs="Arial"/>
          <w:color w:val="243442"/>
          <w:sz w:val="22"/>
        </w:rPr>
        <w:t>A LoRa antenna matching the ordered RF band.</w:t>
      </w:r>
    </w:p>
    <w:p>
      <w:pPr>
        <w:pStyle w:val="ListBullet"/>
        <w:ind w:left="540" w:hanging="271"/>
      </w:pPr>
      <w:r>
        <w:rPr>
          <w:rFonts w:ascii="Arial" w:hAnsi="Arial" w:eastAsia="Arial Unicode MS" w:cs="Arial"/>
          <w:color w:val="243442"/>
          <w:sz w:val="22"/>
        </w:rPr>
        <w:t xml:space="preserve">Type-C 5 V or 5–24 V DC terminal power; a 4G option code of </w:t>
      </w:r>
      <w:r>
        <w:rPr>
          <w:rFonts w:ascii="Menlo" w:hAnsi="Menlo" w:eastAsia="Arial Unicode MS" w:cs="Menlo"/>
          <w:color w:val="18324A"/>
          <w:sz w:val="21"/>
        </w:rPr>
        <w:t>G</w:t>
      </w:r>
      <w:r>
        <w:rPr>
          <w:rFonts w:ascii="Arial" w:hAnsi="Arial" w:eastAsia="Arial Unicode MS" w:cs="Arial"/>
          <w:color w:val="243442"/>
          <w:sz w:val="22"/>
        </w:rPr>
        <w:t xml:space="preserve"> can also use compatible PoE.</w:t>
      </w:r>
    </w:p>
    <w:p>
      <w:pPr>
        <w:pStyle w:val="ListBullet"/>
        <w:ind w:left="540" w:hanging="271"/>
      </w:pPr>
      <w:r>
        <w:rPr>
          <w:rFonts w:ascii="Arial" w:hAnsi="Arial" w:eastAsia="Arial Unicode MS" w:cs="Arial"/>
          <w:color w:val="243442"/>
          <w:sz w:val="22"/>
        </w:rPr>
        <w:t xml:space="preserve">Ethernet or a Wi-Fi network; an activated SIM is also required when the 4G option code is </w:t>
      </w:r>
      <w:r>
        <w:rPr>
          <w:rFonts w:ascii="Menlo" w:hAnsi="Menlo" w:eastAsia="Arial Unicode MS" w:cs="Menlo"/>
          <w:color w:val="18324A"/>
          <w:sz w:val="21"/>
        </w:rPr>
        <w:t>G</w:t>
      </w:r>
      <w:r>
        <w:rPr>
          <w:rFonts w:ascii="Arial" w:hAnsi="Arial" w:eastAsia="Arial Unicode MS" w:cs="Arial"/>
          <w:color w:val="243442"/>
          <w:sz w:val="22"/>
        </w:rPr>
        <w:t xml:space="preserve"> and 4G backhaul is used.</w:t>
      </w:r>
    </w:p>
    <w:p>
      <w:pPr>
        <w:pStyle w:val="ListBullet"/>
        <w:ind w:left="540" w:hanging="271"/>
      </w:pPr>
      <w:r>
        <w:rPr>
          <w:rFonts w:ascii="Arial" w:hAnsi="Arial" w:eastAsia="Arial Unicode MS" w:cs="Arial"/>
          <w:color w:val="243442"/>
          <w:sz w:val="22"/>
        </w:rPr>
        <w:t>A computer or phone able to reach the gateway's local address.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9360"/>
      </w:tblGrid>
      <w:tr>
        <w:trPr>
          <w:cantSplit/>
        </w:trPr>
        <w:tc>
          <w:tcPr>
            <w:tcW w:type="dxa" w:w="93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FF8E7"/>
          </w:tcPr>
          <w:p>
            <w:pPr>
              <w:spacing w:after="0"/>
            </w:pPr>
            <w:r>
              <w:rPr>
                <w:rFonts w:ascii="Arial" w:hAnsi="Arial" w:eastAsia="Arial Unicode MS" w:cs="Arial"/>
                <w:b/>
                <w:color w:val="B7791F"/>
                <w:sz w:val="19"/>
              </w:rPr>
              <w:t xml:space="preserve">NOTE  </w:t>
            </w:r>
            <w:r>
              <w:rPr>
                <w:rFonts w:ascii="Arial" w:hAnsi="Arial" w:eastAsia="Arial Unicode MS" w:cs="Arial"/>
                <w:color w:val="243442"/>
                <w:sz w:val="19"/>
              </w:rPr>
              <w:t xml:space="preserve">Important: Attach the LoRa antenna before applying power. Do not connect multiple power sources at once, do not apply power to the reserved </w:t>
            </w:r>
            <w:r>
              <w:rPr>
                <w:rFonts w:ascii="Menlo" w:hAnsi="Menlo" w:eastAsia="Arial Unicode MS" w:cs="Menlo"/>
                <w:color w:val="18324A"/>
                <w:sz w:val="18"/>
              </w:rPr>
              <w:t>A+</w:t>
            </w:r>
            <w:r>
              <w:rPr>
                <w:rFonts w:ascii="Arial" w:hAnsi="Arial" w:eastAsia="Arial Unicode MS" w:cs="Arial"/>
                <w:color w:val="243442"/>
                <w:sz w:val="19"/>
              </w:rPr>
              <w:t>/</w:t>
            </w:r>
            <w:r>
              <w:rPr>
                <w:rFonts w:ascii="Menlo" w:hAnsi="Menlo" w:eastAsia="Arial Unicode MS" w:cs="Menlo"/>
                <w:color w:val="18324A"/>
                <w:sz w:val="18"/>
              </w:rPr>
              <w:t>B-</w:t>
            </w:r>
            <w:r>
              <w:rPr>
                <w:rFonts w:ascii="Arial" w:hAnsi="Arial" w:eastAsia="Arial Unicode MS" w:cs="Arial"/>
                <w:color w:val="243442"/>
                <w:sz w:val="19"/>
              </w:rPr>
              <w:t xml:space="preserve"> pins, and do not remove power during OTA or factory reset.</w:t>
            </w:r>
          </w:p>
        </w:tc>
      </w:tr>
    </w:tbl>
    <w:p>
      <w:pPr>
        <w:spacing w:after="20"/>
      </w:pPr>
    </w:p>
    <w:p>
      <w:pPr>
        <w:pStyle w:val="Heading1"/>
      </w:pPr>
      <w:r>
        <w:rPr>
          <w:rFonts w:ascii="Arial" w:hAnsi="Arial" w:eastAsia="Arial Unicode MS" w:cs="Arial"/>
          <w:color w:val="1E6F9F"/>
          <w:sz w:val="32"/>
        </w:rPr>
        <w:t>Identify the model and device</w:t>
      </w:r>
    </w:p>
    <w:p>
      <w:pPr>
        <w:pStyle w:val="Heading2"/>
      </w:pPr>
      <w:r>
        <w:rPr>
          <w:rFonts w:ascii="Arial" w:hAnsi="Arial" w:eastAsia="Arial Unicode MS" w:cs="Arial"/>
          <w:color w:val="1E6F9F"/>
          <w:sz w:val="26"/>
        </w:rPr>
        <w:t>Identify the complete model code</w:t>
      </w:r>
    </w:p>
    <w:p>
      <w:pPr>
        <w:pStyle w:val="Heading3"/>
      </w:pPr>
      <w:r>
        <w:rPr>
          <w:rFonts w:ascii="Arial" w:hAnsi="Arial" w:eastAsia="Arial Unicode MS" w:cs="Arial"/>
          <w:color w:val="18324A"/>
          <w:sz w:val="24"/>
        </w:rPr>
        <w:t>Model example</w:t>
      </w:r>
    </w:p>
    <w:p>
      <w:r>
        <w:rPr>
          <w:rFonts w:ascii="Menlo" w:hAnsi="Menlo" w:eastAsia="Arial Unicode MS" w:cs="Menlo"/>
          <w:color w:val="18324A"/>
          <w:sz w:val="21"/>
        </w:rPr>
        <w:t>GD618-AG-AS923-N-2</w:t>
      </w:r>
    </w:p>
    <w:p>
      <w:pPr>
        <w:pStyle w:val="Heading3"/>
      </w:pPr>
      <w:r>
        <w:rPr>
          <w:rFonts w:ascii="Arial" w:hAnsi="Arial" w:eastAsia="Arial Unicode MS" w:cs="Arial"/>
          <w:color w:val="18324A"/>
          <w:sz w:val="24"/>
        </w:rPr>
        <w:t>Model component breakdown</w:t>
      </w:r>
    </w:p>
    <w:p>
      <w:pPr>
        <w:pStyle w:val="ListBullet"/>
        <w:ind w:left="540" w:hanging="271"/>
      </w:pPr>
      <w:r>
        <w:rPr>
          <w:rFonts w:ascii="Arial" w:hAnsi="Arial" w:eastAsia="Arial Unicode MS" w:cs="Arial"/>
          <w:b/>
          <w:color w:val="243442"/>
          <w:sz w:val="22"/>
        </w:rPr>
        <w:t>GD618: product series and RF band.</w:t>
      </w:r>
    </w:p>
    <w:p>
      <w:pPr>
        <w:pStyle w:val="ListBullet"/>
        <w:ind w:left="900" w:hanging="271"/>
      </w:pPr>
      <w:r>
        <w:rPr>
          <w:rFonts w:ascii="Menlo" w:hAnsi="Menlo" w:eastAsia="Arial Unicode MS" w:cs="Menlo"/>
          <w:color w:val="18324A"/>
          <w:sz w:val="21"/>
        </w:rPr>
        <w:t>GD61</w:t>
      </w:r>
      <w:r>
        <w:rPr>
          <w:rFonts w:ascii="Arial" w:hAnsi="Arial" w:eastAsia="Arial Unicode MS" w:cs="Arial"/>
          <w:color w:val="243442"/>
          <w:sz w:val="22"/>
        </w:rPr>
        <w:t xml:space="preserve"> identifies a sixth-generation indoor LoRaWAN gateway.</w:t>
      </w:r>
    </w:p>
    <w:p>
      <w:pPr>
        <w:pStyle w:val="ListBullet"/>
        <w:ind w:left="900" w:hanging="271"/>
      </w:pPr>
      <w:r>
        <w:rPr>
          <w:rFonts w:ascii="Menlo" w:hAnsi="Menlo" w:eastAsia="Arial Unicode MS" w:cs="Menlo"/>
          <w:color w:val="18324A"/>
          <w:sz w:val="21"/>
        </w:rPr>
        <w:t>8</w:t>
      </w:r>
      <w:r>
        <w:rPr>
          <w:rFonts w:ascii="Arial" w:hAnsi="Arial" w:eastAsia="Arial Unicode MS" w:cs="Arial"/>
          <w:color w:val="243442"/>
          <w:sz w:val="22"/>
        </w:rPr>
        <w:t xml:space="preserve"> identifies the 800 MHz-and-above RF version for EU868, AS923, AU915 and US902.</w:t>
      </w:r>
    </w:p>
    <w:p>
      <w:pPr>
        <w:pStyle w:val="ListBullet"/>
        <w:ind w:left="900" w:hanging="271"/>
      </w:pPr>
      <w:r>
        <w:rPr>
          <w:rFonts w:ascii="Arial" w:hAnsi="Arial" w:eastAsia="Arial Unicode MS" w:cs="Arial"/>
          <w:color w:val="243442"/>
          <w:sz w:val="22"/>
        </w:rPr>
        <w:t xml:space="preserve">Other band option: </w:t>
      </w:r>
      <w:r>
        <w:rPr>
          <w:rFonts w:ascii="Menlo" w:hAnsi="Menlo" w:eastAsia="Arial Unicode MS" w:cs="Menlo"/>
          <w:color w:val="18324A"/>
          <w:sz w:val="21"/>
        </w:rPr>
        <w:t>4</w:t>
      </w:r>
      <w:r>
        <w:rPr>
          <w:rFonts w:ascii="Arial" w:hAnsi="Arial" w:eastAsia="Arial Unicode MS" w:cs="Arial"/>
          <w:color w:val="243442"/>
          <w:sz w:val="22"/>
        </w:rPr>
        <w:t xml:space="preserve"> identifies the 400 MHz RF version for EU433 and CN470.</w:t>
      </w:r>
    </w:p>
    <w:p>
      <w:pPr>
        <w:pStyle w:val="ListBullet"/>
        <w:ind w:left="540" w:hanging="271"/>
      </w:pPr>
      <w:r>
        <w:rPr>
          <w:rFonts w:ascii="Arial" w:hAnsi="Arial" w:eastAsia="Arial Unicode MS" w:cs="Arial"/>
          <w:b/>
          <w:color w:val="243442"/>
          <w:sz w:val="22"/>
        </w:rPr>
        <w:t>-AG: LoRa architecture and 4G / PoE configuration.</w:t>
      </w:r>
    </w:p>
    <w:p>
      <w:pPr>
        <w:pStyle w:val="ListBullet"/>
        <w:ind w:left="900" w:hanging="271"/>
      </w:pPr>
      <w:r>
        <w:rPr>
          <w:rFonts w:ascii="Menlo" w:hAnsi="Menlo" w:eastAsia="Arial Unicode MS" w:cs="Menlo"/>
          <w:color w:val="18324A"/>
          <w:sz w:val="21"/>
        </w:rPr>
        <w:t>A</w:t>
      </w:r>
      <w:r>
        <w:rPr>
          <w:rFonts w:ascii="Arial" w:hAnsi="Arial" w:eastAsia="Arial Unicode MS" w:cs="Arial"/>
          <w:color w:val="243442"/>
          <w:sz w:val="22"/>
        </w:rPr>
        <w:t xml:space="preserve"> identifies one LoRa antenna, 8 frequency points, 65 channels and half-duplex operation.</w:t>
      </w:r>
    </w:p>
    <w:p>
      <w:pPr>
        <w:pStyle w:val="ListBullet"/>
        <w:ind w:left="900" w:hanging="271"/>
      </w:pPr>
      <w:r>
        <w:rPr>
          <w:rFonts w:ascii="Menlo" w:hAnsi="Menlo" w:eastAsia="Arial Unicode MS" w:cs="Menlo"/>
          <w:color w:val="18324A"/>
          <w:sz w:val="21"/>
        </w:rPr>
        <w:t>G</w:t>
      </w:r>
      <w:r>
        <w:rPr>
          <w:rFonts w:ascii="Arial" w:hAnsi="Arial" w:eastAsia="Arial Unicode MS" w:cs="Arial"/>
          <w:color w:val="243442"/>
          <w:sz w:val="22"/>
        </w:rPr>
        <w:t xml:space="preserve"> identifies a configuration with both 4G and PoE modules.</w:t>
      </w:r>
    </w:p>
    <w:p>
      <w:pPr>
        <w:pStyle w:val="ListBullet"/>
        <w:ind w:left="900" w:hanging="271"/>
      </w:pPr>
      <w:r>
        <w:rPr>
          <w:rFonts w:ascii="Arial" w:hAnsi="Arial" w:eastAsia="Arial Unicode MS" w:cs="Arial"/>
          <w:color w:val="243442"/>
          <w:sz w:val="22"/>
        </w:rPr>
        <w:t xml:space="preserve">Other 4G / PoE option: </w:t>
      </w:r>
      <w:r>
        <w:rPr>
          <w:rFonts w:ascii="Menlo" w:hAnsi="Menlo" w:eastAsia="Arial Unicode MS" w:cs="Menlo"/>
          <w:color w:val="18324A"/>
          <w:sz w:val="21"/>
        </w:rPr>
        <w:t>N</w:t>
      </w:r>
      <w:r>
        <w:rPr>
          <w:rFonts w:ascii="Arial" w:hAnsi="Arial" w:eastAsia="Arial Unicode MS" w:cs="Arial"/>
          <w:color w:val="243442"/>
          <w:sz w:val="22"/>
        </w:rPr>
        <w:t xml:space="preserve"> identifies a configuration without 4G or PoE modules.</w:t>
      </w:r>
    </w:p>
    <w:p>
      <w:pPr>
        <w:pStyle w:val="ListBullet"/>
        <w:ind w:left="540" w:hanging="271"/>
      </w:pPr>
      <w:r>
        <w:rPr>
          <w:rFonts w:ascii="Arial" w:hAnsi="Arial" w:eastAsia="Arial Unicode MS" w:cs="Arial"/>
          <w:b/>
          <w:color w:val="243442"/>
          <w:sz w:val="22"/>
        </w:rPr>
        <w:t>-AS923: LoRaWAN regional standard.</w:t>
      </w:r>
    </w:p>
    <w:p>
      <w:pPr>
        <w:pStyle w:val="ListBullet"/>
        <w:ind w:left="900" w:hanging="271"/>
      </w:pPr>
      <w:r>
        <w:rPr>
          <w:rFonts w:ascii="Menlo" w:hAnsi="Menlo" w:eastAsia="Arial Unicode MS" w:cs="Menlo"/>
          <w:color w:val="18324A"/>
          <w:sz w:val="21"/>
        </w:rPr>
        <w:t>AS923</w:t>
      </w:r>
      <w:r>
        <w:rPr>
          <w:rFonts w:ascii="Arial" w:hAnsi="Arial" w:eastAsia="Arial Unicode MS" w:cs="Arial"/>
          <w:color w:val="243442"/>
          <w:sz w:val="22"/>
        </w:rPr>
        <w:t xml:space="preserve"> means that the gateway supports the LoRaWAN AS923 regional parameters.</w:t>
      </w:r>
    </w:p>
    <w:p>
      <w:pPr>
        <w:pStyle w:val="ListBullet"/>
        <w:ind w:left="900" w:hanging="271"/>
      </w:pPr>
      <w:r>
        <w:rPr>
          <w:rFonts w:ascii="Arial" w:hAnsi="Arial" w:eastAsia="Arial Unicode MS" w:cs="Arial"/>
          <w:color w:val="243442"/>
          <w:sz w:val="22"/>
        </w:rPr>
        <w:t xml:space="preserve">Other regional codes are </w:t>
      </w:r>
      <w:r>
        <w:rPr>
          <w:rFonts w:ascii="Menlo" w:hAnsi="Menlo" w:eastAsia="Arial Unicode MS" w:cs="Menlo"/>
          <w:color w:val="18324A"/>
          <w:sz w:val="21"/>
        </w:rPr>
        <w:t>CN470</w:t>
      </w:r>
      <w:r>
        <w:rPr>
          <w:rFonts w:ascii="Arial" w:hAnsi="Arial" w:eastAsia="Arial Unicode MS" w:cs="Arial"/>
          <w:color w:val="243442"/>
          <w:sz w:val="22"/>
        </w:rPr>
        <w:t xml:space="preserve">, </w:t>
      </w:r>
      <w:r>
        <w:rPr>
          <w:rFonts w:ascii="Menlo" w:hAnsi="Menlo" w:eastAsia="Arial Unicode MS" w:cs="Menlo"/>
          <w:color w:val="18324A"/>
          <w:sz w:val="21"/>
        </w:rPr>
        <w:t>EU433</w:t>
      </w:r>
      <w:r>
        <w:rPr>
          <w:rFonts w:ascii="Arial" w:hAnsi="Arial" w:eastAsia="Arial Unicode MS" w:cs="Arial"/>
          <w:color w:val="243442"/>
          <w:sz w:val="22"/>
        </w:rPr>
        <w:t xml:space="preserve">, </w:t>
      </w:r>
      <w:r>
        <w:rPr>
          <w:rFonts w:ascii="Menlo" w:hAnsi="Menlo" w:eastAsia="Arial Unicode MS" w:cs="Menlo"/>
          <w:color w:val="18324A"/>
          <w:sz w:val="21"/>
        </w:rPr>
        <w:t>EU868</w:t>
      </w:r>
      <w:r>
        <w:rPr>
          <w:rFonts w:ascii="Arial" w:hAnsi="Arial" w:eastAsia="Arial Unicode MS" w:cs="Arial"/>
          <w:color w:val="243442"/>
          <w:sz w:val="22"/>
        </w:rPr>
        <w:t xml:space="preserve">, </w:t>
      </w:r>
      <w:r>
        <w:rPr>
          <w:rFonts w:ascii="Menlo" w:hAnsi="Menlo" w:eastAsia="Arial Unicode MS" w:cs="Menlo"/>
          <w:color w:val="18324A"/>
          <w:sz w:val="21"/>
        </w:rPr>
        <w:t>AU915</w:t>
      </w:r>
      <w:r>
        <w:rPr>
          <w:rFonts w:ascii="Arial" w:hAnsi="Arial" w:eastAsia="Arial Unicode MS" w:cs="Arial"/>
          <w:color w:val="243442"/>
          <w:sz w:val="22"/>
        </w:rPr>
        <w:t xml:space="preserve"> and </w:t>
      </w:r>
      <w:r>
        <w:rPr>
          <w:rFonts w:ascii="Menlo" w:hAnsi="Menlo" w:eastAsia="Arial Unicode MS" w:cs="Menlo"/>
          <w:color w:val="18324A"/>
          <w:sz w:val="21"/>
        </w:rPr>
        <w:t>US902</w:t>
      </w:r>
      <w:r>
        <w:rPr>
          <w:rFonts w:ascii="Arial" w:hAnsi="Arial" w:eastAsia="Arial Unicode MS" w:cs="Arial"/>
          <w:color w:val="243442"/>
          <w:sz w:val="22"/>
        </w:rPr>
        <w:t xml:space="preserve">; </w:t>
      </w:r>
      <w:r>
        <w:rPr>
          <w:rFonts w:ascii="Menlo" w:hAnsi="Menlo" w:eastAsia="Arial Unicode MS" w:cs="Menlo"/>
          <w:color w:val="18324A"/>
          <w:sz w:val="21"/>
        </w:rPr>
        <w:t>US902</w:t>
      </w:r>
      <w:r>
        <w:rPr>
          <w:rFonts w:ascii="Arial" w:hAnsi="Arial" w:eastAsia="Arial Unicode MS" w:cs="Arial"/>
          <w:color w:val="243442"/>
          <w:sz w:val="22"/>
        </w:rPr>
        <w:t xml:space="preserve"> denotes the LoRaWAN US915 (902–928 MHz) regional parameters.</w:t>
      </w:r>
    </w:p>
    <w:p>
      <w:pPr>
        <w:pStyle w:val="ListBullet"/>
        <w:ind w:left="900" w:hanging="271"/>
      </w:pPr>
      <w:r>
        <w:rPr>
          <w:rFonts w:ascii="Arial" w:hAnsi="Arial" w:eastAsia="Arial Unicode MS" w:cs="Arial"/>
          <w:color w:val="243442"/>
          <w:sz w:val="22"/>
        </w:rPr>
        <w:t>The regional code must match the RF version, antenna and local regulations.</w:t>
      </w:r>
    </w:p>
    <w:p>
      <w:pPr>
        <w:pStyle w:val="ListBullet"/>
        <w:ind w:left="540" w:hanging="271"/>
      </w:pPr>
      <w:r>
        <w:rPr>
          <w:rFonts w:ascii="Arial" w:hAnsi="Arial" w:eastAsia="Arial Unicode MS" w:cs="Arial"/>
          <w:b/>
          <w:color w:val="243442"/>
          <w:sz w:val="22"/>
        </w:rPr>
        <w:t>-N: default version.</w:t>
      </w:r>
    </w:p>
    <w:p>
      <w:pPr>
        <w:pStyle w:val="ListBullet"/>
        <w:ind w:left="900" w:hanging="271"/>
      </w:pPr>
      <w:r>
        <w:rPr>
          <w:rFonts w:ascii="Menlo" w:hAnsi="Menlo" w:eastAsia="Arial Unicode MS" w:cs="Menlo"/>
          <w:color w:val="18324A"/>
          <w:sz w:val="21"/>
        </w:rPr>
        <w:t>N</w:t>
      </w:r>
      <w:r>
        <w:rPr>
          <w:rFonts w:ascii="Arial" w:hAnsi="Arial" w:eastAsia="Arial Unicode MS" w:cs="Arial"/>
          <w:color w:val="243442"/>
          <w:sz w:val="22"/>
        </w:rPr>
        <w:t xml:space="preserve"> identifies the default version.</w:t>
      </w:r>
    </w:p>
    <w:p>
      <w:pPr>
        <w:pStyle w:val="ListBullet"/>
        <w:ind w:left="900" w:hanging="271"/>
      </w:pPr>
      <w:r>
        <w:rPr>
          <w:rFonts w:ascii="Arial" w:hAnsi="Arial" w:eastAsia="Arial Unicode MS" w:cs="Arial"/>
          <w:color w:val="243442"/>
          <w:sz w:val="22"/>
        </w:rPr>
        <w:t>Other values identify customer-specific or special versions.</w:t>
      </w:r>
    </w:p>
    <w:p>
      <w:pPr>
        <w:pStyle w:val="ListBullet"/>
        <w:ind w:left="540" w:hanging="271"/>
      </w:pPr>
      <w:r>
        <w:rPr>
          <w:rFonts w:ascii="Arial" w:hAnsi="Arial" w:eastAsia="Arial Unicode MS" w:cs="Arial"/>
          <w:b/>
          <w:color w:val="243442"/>
          <w:sz w:val="22"/>
        </w:rPr>
        <w:t>-2: LoRa concentrator chipset.</w:t>
      </w:r>
    </w:p>
    <w:p>
      <w:pPr>
        <w:pStyle w:val="ListBullet"/>
        <w:ind w:left="900" w:hanging="271"/>
      </w:pPr>
      <w:r>
        <w:rPr>
          <w:rFonts w:ascii="Menlo" w:hAnsi="Menlo" w:eastAsia="Arial Unicode MS" w:cs="Menlo"/>
          <w:color w:val="18324A"/>
          <w:sz w:val="21"/>
        </w:rPr>
        <w:t>2</w:t>
      </w:r>
      <w:r>
        <w:rPr>
          <w:rFonts w:ascii="Arial" w:hAnsi="Arial" w:eastAsia="Arial Unicode MS" w:cs="Arial"/>
          <w:color w:val="243442"/>
          <w:sz w:val="22"/>
        </w:rPr>
        <w:t xml:space="preserve"> identifies the Semtech SX1302.</w:t>
      </w:r>
    </w:p>
    <w:p>
      <w:pPr>
        <w:pStyle w:val="ListBullet"/>
        <w:ind w:left="900" w:hanging="271"/>
      </w:pPr>
      <w:r>
        <w:rPr>
          <w:rFonts w:ascii="Arial" w:hAnsi="Arial" w:eastAsia="Arial Unicode MS" w:cs="Arial"/>
          <w:color w:val="243442"/>
          <w:sz w:val="22"/>
        </w:rPr>
        <w:t xml:space="preserve">Other chipset option: </w:t>
      </w:r>
      <w:r>
        <w:rPr>
          <w:rFonts w:ascii="Menlo" w:hAnsi="Menlo" w:eastAsia="Arial Unicode MS" w:cs="Menlo"/>
          <w:color w:val="18324A"/>
          <w:sz w:val="21"/>
        </w:rPr>
        <w:t>1</w:t>
      </w:r>
      <w:r>
        <w:rPr>
          <w:rFonts w:ascii="Arial" w:hAnsi="Arial" w:eastAsia="Arial Unicode MS" w:cs="Arial"/>
          <w:color w:val="243442"/>
          <w:sz w:val="22"/>
        </w:rPr>
        <w:t xml:space="preserve"> identifies the Semtech SX1301.</w:t>
      </w:r>
    </w:p>
    <w:p>
      <w:pPr>
        <w:pStyle w:val="Heading3"/>
      </w:pPr>
      <w:r>
        <w:rPr>
          <w:rFonts w:ascii="Arial" w:hAnsi="Arial" w:eastAsia="Arial Unicode MS" w:cs="Arial"/>
          <w:color w:val="18324A"/>
          <w:sz w:val="24"/>
        </w:rPr>
        <w:t>Complete model meaning</w:t>
      </w:r>
    </w:p>
    <w:p>
      <w:r>
        <w:rPr>
          <w:rFonts w:ascii="Arial" w:hAnsi="Arial" w:eastAsia="Arial Unicode MS" w:cs="Arial"/>
          <w:color w:val="243442"/>
          <w:sz w:val="22"/>
        </w:rPr>
        <w:t xml:space="preserve">The complete meaning of </w:t>
      </w:r>
      <w:r>
        <w:rPr>
          <w:rFonts w:ascii="Menlo" w:hAnsi="Menlo" w:eastAsia="Arial Unicode MS" w:cs="Menlo"/>
          <w:color w:val="18324A"/>
          <w:sz w:val="21"/>
        </w:rPr>
        <w:t>GD618-AG-AS923-N-2</w:t>
      </w:r>
      <w:r>
        <w:rPr>
          <w:rFonts w:ascii="Arial" w:hAnsi="Arial" w:eastAsia="Arial Unicode MS" w:cs="Arial"/>
          <w:color w:val="243442"/>
          <w:sz w:val="22"/>
        </w:rPr>
        <w:t xml:space="preserve"> is:</w:t>
      </w:r>
    </w:p>
    <w:p>
      <w:r>
        <w:rPr>
          <w:rFonts w:ascii="Arial" w:hAnsi="Arial" w:eastAsia="Arial Unicode MS" w:cs="Arial"/>
          <w:color w:val="243442"/>
          <w:sz w:val="22"/>
        </w:rPr>
        <w:t xml:space="preserve">This is a sixth-generation indoor LoRaWAN gateway using the 800 MHz-and-above RF version for AS923, with one LoRa antenna, 8 frequency points, 65 channels and half-duplex operation. It includes the 4G and PoE modules, uses the LoRaWAN AS923 regional parameters, identifies the default version with </w:t>
      </w:r>
      <w:r>
        <w:rPr>
          <w:rFonts w:ascii="Menlo" w:hAnsi="Menlo" w:eastAsia="Arial Unicode MS" w:cs="Menlo"/>
          <w:color w:val="18324A"/>
          <w:sz w:val="21"/>
        </w:rPr>
        <w:t>N</w:t>
      </w:r>
      <w:r>
        <w:rPr>
          <w:rFonts w:ascii="Arial" w:hAnsi="Arial" w:eastAsia="Arial Unicode MS" w:cs="Arial"/>
          <w:color w:val="243442"/>
          <w:sz w:val="22"/>
        </w:rPr>
        <w:t>, and uses a Semtech SX1302 concentrator.</w:t>
      </w:r>
    </w:p>
    <w:p>
      <w:r>
        <w:rPr>
          <w:rFonts w:ascii="Arial" w:hAnsi="Arial" w:eastAsia="Arial Unicode MS" w:cs="Arial"/>
          <w:color w:val="243442"/>
          <w:sz w:val="22"/>
        </w:rPr>
        <w:t xml:space="preserve">The front panel contains the LoRa connector, REC (Recovery) factory-reset button and SIM slot. Only LoRa uses an external antenna. The Wi-Fi antenna and the 4G antenna on </w:t>
      </w:r>
      <w:r>
        <w:rPr>
          <w:rFonts w:ascii="Menlo" w:hAnsi="Menlo" w:eastAsia="Arial Unicode MS" w:cs="Menlo"/>
          <w:color w:val="18324A"/>
          <w:sz w:val="21"/>
        </w:rPr>
        <w:t>G</w:t>
      </w:r>
      <w:r>
        <w:rPr>
          <w:rFonts w:ascii="Arial" w:hAnsi="Arial" w:eastAsia="Arial Unicode MS" w:cs="Arial"/>
          <w:color w:val="243442"/>
          <w:sz w:val="22"/>
        </w:rPr>
        <w:t xml:space="preserve"> configurations are internal.</w:t>
      </w:r>
    </w:p>
    <w:p>
      <w:pPr>
        <w:spacing w:before="80" w:after="40"/>
        <w:jc w:val="center"/>
      </w:pPr>
      <w:r>
        <w:drawing>
          <wp:inline xmlns:a="http://schemas.openxmlformats.org/drawingml/2006/main" xmlns:pic="http://schemas.openxmlformats.org/drawingml/2006/picture">
            <wp:extent cx="5303520" cy="5303520"/>
            <wp:docPr id="3" name="Picture 3" descr="GD61x rear interfaces" title="GD61x rear interfaces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gd61x-ports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303520" cy="530352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FigureCaption"/>
      </w:pPr>
      <w:r>
        <w:t>Figure  GD61x rear interfaces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rPr>
          <w:cantSplit/>
          <w:tblHeader w:val="true"/>
        </w:trPr>
        <w:tc>
          <w:tcPr>
            <w:tcW w:type="dxa" w:w="27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18324A"/>
          </w:tcPr>
          <w:p>
            <w:pPr>
              <w:spacing w:before="0" w:after="0" w:line="269" w:lineRule="auto"/>
              <w:jc w:val="center"/>
            </w:pPr>
            <w:r>
              <w:rPr>
                <w:b/>
              </w:rPr>
            </w:r>
            <w:r>
              <w:rPr>
                <w:rFonts w:ascii="Arial" w:hAnsi="Arial" w:eastAsia="Arial Unicode MS" w:cs="Arial"/>
                <w:b/>
                <w:color w:val="FFFFFF"/>
                <w:sz w:val="18"/>
              </w:rPr>
              <w:t>Interface</w:t>
            </w:r>
          </w:p>
        </w:tc>
        <w:tc>
          <w:tcPr>
            <w:tcW w:type="dxa" w:w="66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18324A"/>
          </w:tcPr>
          <w:p>
            <w:pPr>
              <w:spacing w:before="0" w:after="0" w:line="269" w:lineRule="auto"/>
              <w:jc w:val="center"/>
            </w:pPr>
            <w:r>
              <w:rPr>
                <w:b/>
              </w:rPr>
            </w:r>
            <w:r>
              <w:rPr>
                <w:rFonts w:ascii="Arial" w:hAnsi="Arial" w:eastAsia="Arial Unicode MS" w:cs="Arial"/>
                <w:b/>
                <w:color w:val="FFFFFF"/>
                <w:sz w:val="18"/>
              </w:rPr>
              <w:t>Purpose</w:t>
            </w:r>
          </w:p>
        </w:tc>
      </w:tr>
      <w:tr>
        <w:trPr>
          <w:cantSplit/>
        </w:trPr>
        <w:tc>
          <w:tcPr>
            <w:tcW w:type="dxa" w:w="27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USB</w:t>
            </w:r>
          </w:p>
        </w:tc>
        <w:tc>
          <w:tcPr>
            <w:tcW w:type="dxa" w:w="66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Type-C 5 V input and local servicing</w:t>
            </w:r>
          </w:p>
        </w:tc>
      </w:tr>
      <w:tr>
        <w:trPr>
          <w:cantSplit/>
        </w:trPr>
        <w:tc>
          <w:tcPr>
            <w:tcW w:type="dxa" w:w="27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5–24V / G</w:t>
            </w:r>
          </w:p>
        </w:tc>
        <w:tc>
          <w:tcPr>
            <w:tcW w:type="dxa" w:w="66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Positive wide-range DC input / ground</w:t>
            </w:r>
          </w:p>
        </w:tc>
      </w:tr>
      <w:tr>
        <w:trPr>
          <w:cantSplit/>
        </w:trPr>
        <w:tc>
          <w:tcPr>
            <w:tcW w:type="dxa" w:w="27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A+ / B-</w:t>
            </w:r>
          </w:p>
        </w:tc>
        <w:tc>
          <w:tcPr>
            <w:tcW w:type="dxa" w:w="66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Reserved RS-485 pins; no operational device should be connected in this release</w:t>
            </w:r>
          </w:p>
        </w:tc>
      </w:tr>
      <w:tr>
        <w:trPr>
          <w:cantSplit/>
        </w:trPr>
        <w:tc>
          <w:tcPr>
            <w:tcW w:type="dxa" w:w="27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POE</w:t>
            </w:r>
          </w:p>
        </w:tc>
        <w:tc>
          <w:tcPr>
            <w:tcW w:type="dxa" w:w="66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 xml:space="preserve">10/100 Mbps Ethernet on all configurations; PoE input only on </w:t>
            </w:r>
            <w:r>
              <w:rPr>
                <w:rFonts w:ascii="Menlo" w:hAnsi="Menlo" w:eastAsia="Arial Unicode MS" w:cs="Menlo"/>
                <w:color w:val="18324A"/>
                <w:sz w:val="17"/>
              </w:rPr>
              <w:t>G</w:t>
            </w:r>
            <w:r>
              <w:rPr>
                <w:rFonts w:ascii="Arial" w:hAnsi="Arial" w:eastAsia="Arial Unicode MS" w:cs="Arial"/>
                <w:color w:val="243442"/>
                <w:sz w:val="18"/>
              </w:rPr>
              <w:t xml:space="preserve"> configurations</w:t>
            </w:r>
          </w:p>
        </w:tc>
      </w:tr>
    </w:tbl>
    <w:p>
      <w:pPr>
        <w:spacing w:after="40"/>
      </w:pPr>
    </w:p>
    <w:p>
      <w:r>
        <w:rPr>
          <w:rFonts w:ascii="Arial" w:hAnsi="Arial" w:eastAsia="Arial Unicode MS" w:cs="Arial"/>
          <w:color w:val="243442"/>
          <w:sz w:val="22"/>
        </w:rPr>
        <w:t>The rotating bottom bracket supports wall mounting. Keep the bottom ventilation openings clear.</w:t>
      </w:r>
    </w:p>
    <w:p>
      <w:pPr>
        <w:pStyle w:val="Heading1"/>
      </w:pPr>
      <w:r>
        <w:rPr>
          <w:rFonts w:ascii="Arial" w:hAnsi="Arial" w:eastAsia="Arial Unicode MS" w:cs="Arial"/>
          <w:color w:val="1E6F9F"/>
          <w:sz w:val="32"/>
        </w:rPr>
        <w:t>Installation and power-up</w:t>
      </w:r>
    </w:p>
    <w:p>
      <w:pPr>
        <w:pStyle w:val="Heading2"/>
      </w:pPr>
      <w:r>
        <w:rPr>
          <w:rFonts w:ascii="Arial" w:hAnsi="Arial" w:eastAsia="Arial Unicode MS" w:cs="Arial"/>
          <w:color w:val="1E6F9F"/>
          <w:sz w:val="26"/>
        </w:rPr>
        <w:t>Attach the LoRa antenna</w:t>
      </w:r>
    </w:p>
    <w:p>
      <w:pPr>
        <w:pStyle w:val="ListNumber"/>
        <w:ind w:left="540" w:hanging="271"/>
      </w:pPr>
      <w:r>
        <w:rPr>
          <w:rFonts w:ascii="Arial" w:hAnsi="Arial" w:eastAsia="Arial Unicode MS" w:cs="Arial"/>
          <w:color w:val="243442"/>
          <w:sz w:val="22"/>
        </w:rPr>
        <w:t>Verify that the antenna band matches the gateway RF version.</w:t>
      </w:r>
    </w:p>
    <w:p>
      <w:pPr>
        <w:pStyle w:val="ListNumber"/>
        <w:ind w:left="540" w:hanging="271"/>
      </w:pPr>
      <w:r>
        <w:rPr>
          <w:rFonts w:ascii="Arial" w:hAnsi="Arial" w:eastAsia="Arial Unicode MS" w:cs="Arial"/>
          <w:color w:val="243442"/>
          <w:sz w:val="22"/>
        </w:rPr>
        <w:t xml:space="preserve">Hand-tighten the antenna on the </w:t>
      </w:r>
      <w:r>
        <w:rPr>
          <w:rFonts w:ascii="Menlo" w:hAnsi="Menlo" w:eastAsia="Arial Unicode MS" w:cs="Menlo"/>
          <w:color w:val="18324A"/>
          <w:sz w:val="21"/>
        </w:rPr>
        <w:t>LoRa</w:t>
      </w:r>
      <w:r>
        <w:rPr>
          <w:rFonts w:ascii="Arial" w:hAnsi="Arial" w:eastAsia="Arial Unicode MS" w:cs="Arial"/>
          <w:color w:val="243442"/>
          <w:sz w:val="22"/>
        </w:rPr>
        <w:t xml:space="preserve"> connector without side-loading it.</w:t>
      </w:r>
    </w:p>
    <w:p>
      <w:pPr>
        <w:pStyle w:val="ListNumber"/>
        <w:ind w:left="540" w:hanging="271"/>
      </w:pPr>
      <w:r>
        <w:rPr>
          <w:rFonts w:ascii="Arial" w:hAnsi="Arial" w:eastAsia="Arial Unicode MS" w:cs="Arial"/>
          <w:color w:val="243442"/>
          <w:sz w:val="22"/>
        </w:rPr>
        <w:t>Never start LoRa transmission with the antenna disconnected.</w:t>
      </w:r>
    </w:p>
    <w:p>
      <w:pPr>
        <w:pStyle w:val="Heading2"/>
      </w:pPr>
      <w:r>
        <w:rPr>
          <w:rFonts w:ascii="Arial" w:hAnsi="Arial" w:eastAsia="Arial Unicode MS" w:cs="Arial"/>
          <w:color w:val="1E6F9F"/>
          <w:sz w:val="26"/>
        </w:rPr>
        <w:t>Install a SIM</w:t>
      </w:r>
    </w:p>
    <w:p>
      <w:r>
        <w:rPr>
          <w:rFonts w:ascii="Arial" w:hAnsi="Arial" w:eastAsia="Arial Unicode MS" w:cs="Arial"/>
          <w:color w:val="243442"/>
          <w:sz w:val="22"/>
        </w:rPr>
        <w:t xml:space="preserve">This section applies only to </w:t>
      </w:r>
      <w:r>
        <w:rPr>
          <w:rFonts w:ascii="Menlo" w:hAnsi="Menlo" w:eastAsia="Arial Unicode MS" w:cs="Menlo"/>
          <w:color w:val="18324A"/>
          <w:sz w:val="21"/>
        </w:rPr>
        <w:t>G</w:t>
      </w:r>
      <w:r>
        <w:rPr>
          <w:rFonts w:ascii="Arial" w:hAnsi="Arial" w:eastAsia="Arial Unicode MS" w:cs="Arial"/>
          <w:color w:val="243442"/>
          <w:sz w:val="22"/>
        </w:rPr>
        <w:t xml:space="preserve"> configurations. For 4G backhaul, power the gateway off and insert an activated SIM in the </w:t>
      </w:r>
      <w:r>
        <w:rPr>
          <w:rFonts w:ascii="Menlo" w:hAnsi="Menlo" w:eastAsia="Arial Unicode MS" w:cs="Menlo"/>
          <w:color w:val="18324A"/>
          <w:sz w:val="21"/>
        </w:rPr>
        <w:t>SIM</w:t>
      </w:r>
      <w:r>
        <w:rPr>
          <w:rFonts w:ascii="Arial" w:hAnsi="Arial" w:eastAsia="Arial Unicode MS" w:cs="Arial"/>
          <w:color w:val="243442"/>
          <w:sz w:val="22"/>
        </w:rPr>
        <w:t xml:space="preserve"> slot. A SIM without a PIN can dial directly. If PIN protection is enabled, enter its 4–8 digit PIN in the Web console.</w:t>
      </w:r>
    </w:p>
    <w:p>
      <w:pPr>
        <w:pStyle w:val="Heading2"/>
      </w:pPr>
      <w:r>
        <w:rPr>
          <w:rFonts w:ascii="Arial" w:hAnsi="Arial" w:eastAsia="Arial Unicode MS" w:cs="Arial"/>
          <w:color w:val="1E6F9F"/>
          <w:sz w:val="26"/>
        </w:rPr>
        <w:t>Select one power method</w:t>
      </w:r>
    </w:p>
    <w:p>
      <w:r>
        <w:rPr>
          <w:rFonts w:ascii="Arial" w:hAnsi="Arial" w:eastAsia="Arial Unicode MS" w:cs="Arial"/>
          <w:color w:val="243442"/>
          <w:sz w:val="22"/>
        </w:rPr>
        <w:t>Use exactly one of these methods:</w:t>
      </w:r>
    </w:p>
    <w:p>
      <w:pPr>
        <w:pStyle w:val="ListBullet"/>
        <w:ind w:left="540" w:hanging="271"/>
      </w:pPr>
      <w:r>
        <w:rPr>
          <w:rFonts w:ascii="Arial" w:hAnsi="Arial" w:eastAsia="Arial Unicode MS" w:cs="Arial"/>
          <w:color w:val="243442"/>
          <w:sz w:val="22"/>
        </w:rPr>
        <w:t>Type-C: connect a stable 5 V supply.</w:t>
      </w:r>
    </w:p>
    <w:p>
      <w:pPr>
        <w:pStyle w:val="ListBullet"/>
        <w:ind w:left="540" w:hanging="271"/>
      </w:pPr>
      <w:r>
        <w:rPr>
          <w:rFonts w:ascii="Arial" w:hAnsi="Arial" w:eastAsia="Arial Unicode MS" w:cs="Arial"/>
          <w:color w:val="243442"/>
          <w:sz w:val="22"/>
        </w:rPr>
        <w:t xml:space="preserve">DC terminal: connect the positive lead of a 5–24 V DC supply to </w:t>
      </w:r>
      <w:r>
        <w:rPr>
          <w:rFonts w:ascii="Menlo" w:hAnsi="Menlo" w:eastAsia="Arial Unicode MS" w:cs="Menlo"/>
          <w:color w:val="18324A"/>
          <w:sz w:val="21"/>
        </w:rPr>
        <w:t>5–24V</w:t>
      </w:r>
      <w:r>
        <w:rPr>
          <w:rFonts w:ascii="Arial" w:hAnsi="Arial" w:eastAsia="Arial Unicode MS" w:cs="Arial"/>
          <w:color w:val="243442"/>
          <w:sz w:val="22"/>
        </w:rPr>
        <w:t xml:space="preserve"> and negative to </w:t>
      </w:r>
      <w:r>
        <w:rPr>
          <w:rFonts w:ascii="Menlo" w:hAnsi="Menlo" w:eastAsia="Arial Unicode MS" w:cs="Menlo"/>
          <w:color w:val="18324A"/>
          <w:sz w:val="21"/>
        </w:rPr>
        <w:t>G</w:t>
      </w:r>
      <w:r>
        <w:rPr>
          <w:rFonts w:ascii="Arial" w:hAnsi="Arial" w:eastAsia="Arial Unicode MS" w:cs="Arial"/>
          <w:color w:val="243442"/>
          <w:sz w:val="22"/>
        </w:rPr>
        <w:t>.</w:t>
      </w:r>
    </w:p>
    <w:p>
      <w:pPr>
        <w:pStyle w:val="ListBullet"/>
        <w:ind w:left="540" w:hanging="271"/>
      </w:pPr>
      <w:r>
        <w:rPr>
          <w:rFonts w:ascii="Arial" w:hAnsi="Arial" w:eastAsia="Arial Unicode MS" w:cs="Arial"/>
          <w:color w:val="243442"/>
          <w:sz w:val="22"/>
        </w:rPr>
        <w:t>PoE (</w:t>
      </w:r>
      <w:r>
        <w:rPr>
          <w:rFonts w:ascii="Menlo" w:hAnsi="Menlo" w:eastAsia="Arial Unicode MS" w:cs="Menlo"/>
          <w:color w:val="18324A"/>
          <w:sz w:val="21"/>
        </w:rPr>
        <w:t>G</w:t>
      </w:r>
      <w:r>
        <w:rPr>
          <w:rFonts w:ascii="Arial" w:hAnsi="Arial" w:eastAsia="Arial Unicode MS" w:cs="Arial"/>
          <w:color w:val="243442"/>
          <w:sz w:val="22"/>
        </w:rPr>
        <w:t xml:space="preserve"> configurations only): connect a compatible powered Ethernet cable to </w:t>
      </w:r>
      <w:r>
        <w:rPr>
          <w:rFonts w:ascii="Menlo" w:hAnsi="Menlo" w:eastAsia="Arial Unicode MS" w:cs="Menlo"/>
          <w:color w:val="18324A"/>
          <w:sz w:val="21"/>
        </w:rPr>
        <w:t>POE</w:t>
      </w:r>
      <w:r>
        <w:rPr>
          <w:rFonts w:ascii="Arial" w:hAnsi="Arial" w:eastAsia="Arial Unicode MS" w:cs="Arial"/>
          <w:color w:val="243442"/>
          <w:sz w:val="22"/>
        </w:rPr>
        <w:t>.</w:t>
      </w:r>
    </w:p>
    <w:p>
      <w:r>
        <w:rPr>
          <w:rFonts w:ascii="Arial" w:hAnsi="Arial" w:eastAsia="Arial Unicode MS" w:cs="Arial"/>
          <w:color w:val="243442"/>
          <w:sz w:val="22"/>
        </w:rPr>
        <w:t>After power-up, the LED slow-blinks continuously (1 s on / 1 s off by default). System initialization, IP acquisition and LoRa service startup take some time.</w:t>
      </w:r>
    </w:p>
    <w:p>
      <w:pPr>
        <w:pStyle w:val="Heading1"/>
      </w:pPr>
      <w:r>
        <w:rPr>
          <w:rFonts w:ascii="Arial" w:hAnsi="Arial" w:eastAsia="Arial Unicode MS" w:cs="Arial"/>
          <w:color w:val="1E6F9F"/>
          <w:sz w:val="32"/>
        </w:rPr>
        <w:t>Configure the GD6 system</w:t>
      </w:r>
    </w:p>
    <w:p>
      <w:r>
        <w:rPr>
          <w:rFonts w:ascii="Arial" w:hAnsi="Arial" w:eastAsia="Arial Unicode MS" w:cs="Arial"/>
          <w:color w:val="243442"/>
          <w:sz w:val="22"/>
        </w:rPr>
        <w:t xml:space="preserve">GD61x uses the shared GD6 configuration system. The following tasks are maintained in the </w:t>
      </w:r>
      <w:hyperlink r:id="rId12">
        <w:r>
          <w:rPr>
            <w:rFonts w:ascii="Arial" w:hAnsi="Arial" w:eastAsia="Arial Unicode MS"/>
            <w:color w:val="1E6F9F"/>
            <w:u w:val="single"/>
          </w:rPr>
          <w:t>GD6 Configuration Guide</w:t>
        </w:r>
      </w:hyperlink>
      <w:r>
        <w:rPr>
          <w:rFonts w:ascii="Arial" w:hAnsi="Arial" w:eastAsia="Arial Unicode MS" w:cs="Arial"/>
          <w:color w:val="243442"/>
          <w:sz w:val="22"/>
        </w:rPr>
        <w:t>:</w:t>
      </w:r>
    </w:p>
    <w:p>
      <w:pPr>
        <w:pStyle w:val="ListBullet"/>
        <w:ind w:left="540" w:hanging="271"/>
      </w:pPr>
      <w:r>
        <w:rPr>
          <w:rFonts w:ascii="Arial" w:hAnsi="Arial" w:eastAsia="Arial Unicode MS" w:cs="Arial"/>
          <w:color w:val="243442"/>
          <w:sz w:val="22"/>
        </w:rPr>
        <w:t>Web-console access and sign-in.</w:t>
      </w:r>
    </w:p>
    <w:p>
      <w:pPr>
        <w:pStyle w:val="ListBullet"/>
        <w:ind w:left="540" w:hanging="271"/>
      </w:pPr>
      <w:r>
        <w:rPr>
          <w:rFonts w:ascii="Arial" w:hAnsi="Arial" w:eastAsia="Arial Unicode MS" w:cs="Arial"/>
          <w:color w:val="243442"/>
          <w:sz w:val="22"/>
        </w:rPr>
        <w:t>Ethernet, Wi-Fi and optional 4G backhaul.</w:t>
      </w:r>
    </w:p>
    <w:p>
      <w:pPr>
        <w:pStyle w:val="ListBullet"/>
        <w:ind w:left="540" w:hanging="271"/>
      </w:pPr>
      <w:r>
        <w:rPr>
          <w:rFonts w:ascii="Arial" w:hAnsi="Arial" w:eastAsia="Arial Unicode MS" w:cs="Arial"/>
          <w:color w:val="243442"/>
          <w:sz w:val="22"/>
        </w:rPr>
        <w:t>Semtech UDP, MQTT Bridge and Basic Station.</w:t>
      </w:r>
    </w:p>
    <w:p>
      <w:pPr>
        <w:pStyle w:val="ListBullet"/>
        <w:ind w:left="540" w:hanging="271"/>
      </w:pPr>
      <w:r>
        <w:rPr>
          <w:rFonts w:ascii="Arial" w:hAnsi="Arial" w:eastAsia="Arial Unicode MS" w:cs="Arial"/>
          <w:color w:val="243442"/>
          <w:sz w:val="22"/>
        </w:rPr>
        <w:t>LoRaWAN region, sub-band and channel settings.</w:t>
      </w:r>
    </w:p>
    <w:p>
      <w:pPr>
        <w:pStyle w:val="ListBullet"/>
        <w:ind w:left="540" w:hanging="271"/>
      </w:pPr>
      <w:r>
        <w:rPr>
          <w:rFonts w:ascii="Arial" w:hAnsi="Arial" w:eastAsia="Arial Unicode MS" w:cs="Arial"/>
          <w:color w:val="243442"/>
          <w:sz w:val="22"/>
        </w:rPr>
        <w:t>Logs, firmware, filesystem, users and remote configuration.</w:t>
      </w:r>
    </w:p>
    <w:p>
      <w:pPr>
        <w:pStyle w:val="ListBullet"/>
        <w:ind w:left="540" w:hanging="271"/>
      </w:pPr>
      <w:r>
        <w:rPr>
          <w:rFonts w:ascii="Arial" w:hAnsi="Arial" w:eastAsia="Arial Unicode MS" w:cs="Arial"/>
          <w:color w:val="243442"/>
          <w:sz w:val="22"/>
        </w:rPr>
        <w:t>Post-reset configuration state and common troubleshooting.</w:t>
      </w:r>
    </w:p>
    <w:p>
      <w:r>
        <w:rPr>
          <w:rFonts w:ascii="Arial" w:hAnsi="Arial" w:eastAsia="Arial Unicode MS" w:cs="Arial"/>
          <w:color w:val="243442"/>
          <w:sz w:val="22"/>
        </w:rPr>
        <w:t>The ordering code and technical specifications in this guide remain authoritative for the hardware capabilities of a particular GD61x unit.</w:t>
      </w:r>
    </w:p>
    <w:p>
      <w:pPr>
        <w:pStyle w:val="Heading1"/>
      </w:pPr>
      <w:r>
        <w:rPr>
          <w:rFonts w:ascii="Arial" w:hAnsi="Arial" w:eastAsia="Arial Unicode MS" w:cs="Arial"/>
          <w:color w:val="1E6F9F"/>
          <w:sz w:val="32"/>
        </w:rPr>
        <w:t>REC (Recovery) button and factory reset</w:t>
      </w:r>
    </w:p>
    <w:p>
      <w:r>
        <w:rPr>
          <w:rFonts w:ascii="Arial" w:hAnsi="Arial" w:eastAsia="Arial Unicode MS" w:cs="Arial"/>
          <w:color w:val="243442"/>
          <w:sz w:val="22"/>
        </w:rPr>
        <w:t xml:space="preserve">REC has one function only: factory reset. It does not enable the Wi-Fi AP or perform any other operation. Hold REC; the gateway follows this sequence: </w:t>
      </w:r>
      <w:r>
        <w:rPr>
          <w:rFonts w:ascii="Arial" w:hAnsi="Arial" w:eastAsia="Arial Unicode MS" w:cs="Arial"/>
          <w:b/>
          <w:color w:val="243442"/>
          <w:sz w:val="22"/>
        </w:rPr>
        <w:t>solid at the 2 s threshold → reset runs → three fast flashes → reboot</w:t>
      </w:r>
      <w:r>
        <w:rPr>
          <w:rFonts w:ascii="Arial" w:hAnsi="Arial" w:eastAsia="Arial Unicode MS" w:cs="Arial"/>
          <w:color w:val="243442"/>
          <w:sz w:val="22"/>
        </w:rPr>
        <w:t>.</w:t>
      </w:r>
    </w:p>
    <w:p>
      <w:r>
        <w:rPr>
          <w:rFonts w:ascii="Arial" w:hAnsi="Arial" w:eastAsia="Arial Unicode MS" w:cs="Arial"/>
          <w:color w:val="243442"/>
          <w:sz w:val="22"/>
        </w:rPr>
        <w:t xml:space="preserve">Factory reset restores network, LoRaWAN, MQTT, remote settings and, on </w:t>
      </w:r>
      <w:r>
        <w:rPr>
          <w:rFonts w:ascii="Menlo" w:hAnsi="Menlo" w:eastAsia="Arial Unicode MS" w:cs="Menlo"/>
          <w:color w:val="18324A"/>
          <w:sz w:val="21"/>
        </w:rPr>
        <w:t>G</w:t>
      </w:r>
      <w:r>
        <w:rPr>
          <w:rFonts w:ascii="Arial" w:hAnsi="Arial" w:eastAsia="Arial Unicode MS" w:cs="Arial"/>
          <w:color w:val="243442"/>
          <w:sz w:val="22"/>
        </w:rPr>
        <w:t xml:space="preserve"> configurations, 4G settings. It changes the login password back to </w:t>
      </w:r>
      <w:r>
        <w:rPr>
          <w:rFonts w:ascii="Menlo" w:hAnsi="Menlo" w:eastAsia="Arial Unicode MS" w:cs="Menlo"/>
          <w:color w:val="18324A"/>
          <w:sz w:val="21"/>
        </w:rPr>
        <w:t>wifi!0804</w:t>
      </w:r>
      <w:r>
        <w:rPr>
          <w:rFonts w:ascii="Arial" w:hAnsi="Arial" w:eastAsia="Arial Unicode MS" w:cs="Arial"/>
          <w:color w:val="243442"/>
          <w:sz w:val="22"/>
        </w:rPr>
        <w:t>, preserves the programmed Gateway EUI and does not overwrite the Web static files.</w:t>
      </w:r>
    </w:p>
    <w:p>
      <w:pPr>
        <w:pStyle w:val="Heading1"/>
      </w:pPr>
      <w:r>
        <w:rPr>
          <w:rFonts w:ascii="Arial" w:hAnsi="Arial" w:eastAsia="Arial Unicode MS" w:cs="Arial"/>
          <w:color w:val="1E6F9F"/>
          <w:sz w:val="32"/>
        </w:rPr>
        <w:t>Indicator patterns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2000"/>
        <w:gridCol w:w="2250"/>
        <w:gridCol w:w="5110"/>
      </w:tblGrid>
      <w:tr>
        <w:trPr>
          <w:cantSplit/>
          <w:tblHeader w:val="true"/>
        </w:trPr>
        <w:tc>
          <w:tcPr>
            <w:tcW w:type="dxa" w:w="20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18324A"/>
          </w:tcPr>
          <w:p>
            <w:pPr>
              <w:spacing w:before="0" w:after="0" w:line="269" w:lineRule="auto"/>
              <w:jc w:val="center"/>
            </w:pPr>
            <w:r>
              <w:rPr>
                <w:b/>
              </w:rPr>
            </w:r>
            <w:r>
              <w:rPr>
                <w:rFonts w:ascii="Arial" w:hAnsi="Arial" w:eastAsia="Arial Unicode MS" w:cs="Arial"/>
                <w:b/>
                <w:color w:val="FFFFFF"/>
                <w:sz w:val="18"/>
              </w:rPr>
              <w:t>ID</w:t>
            </w:r>
          </w:p>
        </w:tc>
        <w:tc>
          <w:tcPr>
            <w:tcW w:type="dxa" w:w="225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18324A"/>
          </w:tcPr>
          <w:p>
            <w:pPr>
              <w:spacing w:before="0" w:after="0" w:line="269" w:lineRule="auto"/>
              <w:jc w:val="center"/>
            </w:pPr>
            <w:r>
              <w:rPr>
                <w:b/>
              </w:rPr>
            </w:r>
            <w:r>
              <w:rPr>
                <w:rFonts w:ascii="Arial" w:hAnsi="Arial" w:eastAsia="Arial Unicode MS" w:cs="Arial"/>
                <w:b/>
                <w:color w:val="FFFFFF"/>
                <w:sz w:val="18"/>
              </w:rPr>
              <w:t>Pattern</w:t>
            </w:r>
          </w:p>
        </w:tc>
        <w:tc>
          <w:tcPr>
            <w:tcW w:type="dxa" w:w="511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18324A"/>
          </w:tcPr>
          <w:p>
            <w:pPr>
              <w:spacing w:before="0" w:after="0" w:line="269" w:lineRule="auto"/>
              <w:jc w:val="center"/>
            </w:pPr>
            <w:r>
              <w:rPr>
                <w:b/>
              </w:rPr>
            </w:r>
            <w:r>
              <w:rPr>
                <w:rFonts w:ascii="Arial" w:hAnsi="Arial" w:eastAsia="Arial Unicode MS" w:cs="Arial"/>
                <w:b/>
                <w:color w:val="FFFFFF"/>
                <w:sz w:val="18"/>
              </w:rPr>
              <w:t>Meaning</w:t>
            </w:r>
          </w:p>
        </w:tc>
      </w:tr>
      <w:tr>
        <w:trPr>
          <w:cantSplit/>
        </w:trPr>
        <w:tc>
          <w:tcPr>
            <w:tcW w:type="dxa" w:w="20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FR6</w:t>
            </w:r>
          </w:p>
        </w:tc>
        <w:tc>
          <w:tcPr>
            <w:tcW w:type="dxa" w:w="225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LED slow-blinks continuously (1 s on / 1 s off by default)</w:t>
            </w:r>
          </w:p>
        </w:tc>
        <w:tc>
          <w:tcPr>
            <w:tcW w:type="dxa" w:w="511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Normal operation</w:t>
            </w:r>
          </w:p>
        </w:tc>
      </w:tr>
      <w:tr>
        <w:trPr>
          <w:cantSplit/>
        </w:trPr>
        <w:tc>
          <w:tcPr>
            <w:tcW w:type="dxa" w:w="20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FR7</w:t>
            </w:r>
          </w:p>
        </w:tc>
        <w:tc>
          <w:tcPr>
            <w:tcW w:type="dxa" w:w="225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Factory reset: solid at the 2 s threshold → reset runs → three fast flashes → reboot</w:t>
            </w:r>
          </w:p>
        </w:tc>
        <w:tc>
          <w:tcPr>
            <w:tcW w:type="dxa" w:w="511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Factory reset</w:t>
            </w:r>
          </w:p>
        </w:tc>
      </w:tr>
    </w:tbl>
    <w:p>
      <w:pPr>
        <w:spacing w:after="40"/>
      </w:pPr>
    </w:p>
    <w:p>
      <w:pPr>
        <w:pStyle w:val="Heading1"/>
      </w:pPr>
      <w:r>
        <w:rPr>
          <w:rFonts w:ascii="Arial" w:hAnsi="Arial" w:eastAsia="Arial Unicode MS" w:cs="Arial"/>
          <w:color w:val="1E6F9F"/>
          <w:sz w:val="32"/>
        </w:rPr>
        <w:t>Troubleshooting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rPr>
          <w:cantSplit/>
          <w:tblHeader w:val="true"/>
        </w:trPr>
        <w:tc>
          <w:tcPr>
            <w:tcW w:type="dxa" w:w="27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18324A"/>
          </w:tcPr>
          <w:p>
            <w:pPr>
              <w:spacing w:before="0" w:after="0" w:line="269" w:lineRule="auto"/>
              <w:jc w:val="center"/>
            </w:pPr>
            <w:r>
              <w:rPr>
                <w:b/>
              </w:rPr>
            </w:r>
            <w:r>
              <w:rPr>
                <w:rFonts w:ascii="Arial" w:hAnsi="Arial" w:eastAsia="Arial Unicode MS" w:cs="Arial"/>
                <w:b/>
                <w:color w:val="FFFFFF"/>
                <w:sz w:val="18"/>
              </w:rPr>
              <w:t>Symptom</w:t>
            </w:r>
          </w:p>
        </w:tc>
        <w:tc>
          <w:tcPr>
            <w:tcW w:type="dxa" w:w="66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18324A"/>
          </w:tcPr>
          <w:p>
            <w:pPr>
              <w:spacing w:before="0" w:after="0" w:line="269" w:lineRule="auto"/>
              <w:jc w:val="center"/>
            </w:pPr>
            <w:r>
              <w:rPr>
                <w:b/>
              </w:rPr>
            </w:r>
            <w:r>
              <w:rPr>
                <w:rFonts w:ascii="Arial" w:hAnsi="Arial" w:eastAsia="Arial Unicode MS" w:cs="Arial"/>
                <w:b/>
                <w:color w:val="FFFFFF"/>
                <w:sz w:val="18"/>
              </w:rPr>
              <w:t>Checks and recovery</w:t>
            </w:r>
          </w:p>
        </w:tc>
      </w:tr>
      <w:tr>
        <w:trPr>
          <w:cantSplit/>
        </w:trPr>
        <w:tc>
          <w:tcPr>
            <w:tcW w:type="dxa" w:w="27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 xml:space="preserve">4G on a </w:t>
            </w:r>
            <w:r>
              <w:rPr>
                <w:rFonts w:ascii="Menlo" w:hAnsi="Menlo" w:eastAsia="Arial Unicode MS" w:cs="Menlo"/>
                <w:color w:val="18324A"/>
                <w:sz w:val="17"/>
              </w:rPr>
              <w:t>G</w:t>
            </w:r>
            <w:r>
              <w:rPr>
                <w:rFonts w:ascii="Arial" w:hAnsi="Arial" w:eastAsia="Arial Unicode MS" w:cs="Arial"/>
                <w:color w:val="243442"/>
                <w:sz w:val="18"/>
              </w:rPr>
              <w:t xml:space="preserve"> configuration will not register</w:t>
            </w:r>
          </w:p>
        </w:tc>
        <w:tc>
          <w:tcPr>
            <w:tcW w:type="dxa" w:w="66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Check SIM, PIN, APN, signal and modem bands; verify internal antenna and miniPCIe modem installation</w:t>
            </w:r>
          </w:p>
        </w:tc>
      </w:tr>
      <w:tr>
        <w:trPr>
          <w:cantSplit/>
        </w:trPr>
        <w:tc>
          <w:tcPr>
            <w:tcW w:type="dxa" w:w="27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No LoRa uplink</w:t>
            </w:r>
          </w:p>
        </w:tc>
        <w:tc>
          <w:tcPr>
            <w:tcW w:type="dxa" w:w="66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Check antenna, regional band, Gateway EUI, LNS address/ports and active backhaul</w:t>
            </w:r>
          </w:p>
        </w:tc>
      </w:tr>
      <w:tr>
        <w:trPr>
          <w:cantSplit/>
        </w:trPr>
        <w:tc>
          <w:tcPr>
            <w:tcW w:type="dxa" w:w="27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Gateway does not return after OTA</w:t>
            </w:r>
          </w:p>
        </w:tc>
        <w:tc>
          <w:tcPr>
            <w:tcW w:type="dxa" w:w="66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Allow the automatic reboot to finish; if still unavailable, recover through the Wi-Fi AP or a controlled serial service procedure instead of repeated power cuts</w:t>
            </w:r>
          </w:p>
        </w:tc>
      </w:tr>
      <w:tr>
        <w:trPr>
          <w:cantSplit/>
        </w:trPr>
        <w:tc>
          <w:tcPr>
            <w:tcW w:type="dxa" w:w="27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Web, login, Ethernet or Wi-Fi configuration problem</w:t>
            </w:r>
          </w:p>
        </w:tc>
        <w:tc>
          <w:tcPr>
            <w:tcW w:type="dxa" w:w="66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 xml:space="preserve">Follow </w:t>
            </w:r>
            <w:hyperlink r:id="rId14">
              <w:r>
                <w:rPr>
                  <w:rFonts w:ascii="Arial" w:hAnsi="Arial" w:eastAsia="Arial Unicode MS"/>
                  <w:color w:val="1E6F9F"/>
                  <w:u w:val="single"/>
                </w:rPr>
                <w:t>Configuration troubleshooting in the GD6 Configuration Guide</w:t>
              </w:r>
            </w:hyperlink>
          </w:p>
        </w:tc>
      </w:tr>
    </w:tbl>
    <w:p>
      <w:pPr>
        <w:spacing w:after="40"/>
      </w:pPr>
    </w:p>
    <w:p>
      <w:pPr>
        <w:pStyle w:val="Heading1"/>
      </w:pPr>
      <w:r>
        <w:rPr>
          <w:rFonts w:ascii="Arial" w:hAnsi="Arial" w:eastAsia="Arial Unicode MS" w:cs="Arial"/>
          <w:color w:val="1E6F9F"/>
          <w:sz w:val="32"/>
        </w:rPr>
        <w:t>Related documents</w:t>
      </w:r>
    </w:p>
    <w:p>
      <w:pPr>
        <w:pStyle w:val="ListBullet"/>
        <w:ind w:left="540" w:hanging="271"/>
      </w:pPr>
      <w:hyperlink r:id="rId12">
        <w:r>
          <w:rPr>
            <w:rFonts w:ascii="Arial" w:hAnsi="Arial" w:eastAsia="Arial Unicode MS"/>
            <w:color w:val="1E6F9F"/>
            <w:u w:val="single"/>
          </w:rPr>
          <w:t>GD6 Configuration Guide</w:t>
        </w:r>
      </w:hyperlink>
    </w:p>
    <w:p>
      <w:pPr>
        <w:pStyle w:val="ListBullet"/>
        <w:ind w:left="540" w:hanging="271"/>
      </w:pPr>
      <w:hyperlink r:id="rId15">
        <w:r>
          <w:rPr>
            <w:rFonts w:ascii="Arial" w:hAnsi="Arial" w:eastAsia="Arial Unicode MS"/>
            <w:color w:val="1E6F9F"/>
            <w:u w:val="single"/>
          </w:rPr>
          <w:t>LoRaWAN Gateway documentation index</w:t>
        </w:r>
      </w:hyperlink>
    </w:p>
    <w:sectPr w:rsidR="00FC693F" w:rsidRPr="0006063C" w:rsidSect="00034616">
      <w:headerReference w:type="default" r:id="rId9"/>
      <w:footerReference w:type="default" r:id="rId10"/>
      <w:pgSz w:w="12240" w:h="15840"/>
      <w:pgMar w:top="1440" w:right="1440" w:bottom="1440" w:left="1440" w:header="708" w:footer="708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0" w:after="0"/>
      <w:jc w:val="right"/>
    </w:pPr>
    <w:r>
      <w:rPr>
        <w:rFonts w:ascii="Arial" w:hAnsi="Arial" w:eastAsia="Arial Unicode MS" w:cs="Arial"/>
        <w:color w:val="607181"/>
        <w:sz w:val="17"/>
      </w:rPr>
      <w:t xml:space="preserve"> </w:t>
      <w:fldChar w:fldCharType="begin"/>
      <w:instrText xml:space="preserve"> PAGE </w:instrText>
      <w:fldChar w:fldCharType="separate"/>
      <w:t>1</w: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tabs>
        <w:tab w:pos="9360" w:val="left"/>
      </w:tabs>
      <w:spacing w:after="0"/>
    </w:pPr>
    <w:r>
      <w:rPr>
        <w:rFonts w:ascii="Arial" w:hAnsi="Arial" w:eastAsia="Arial Unicode MS" w:cs="Arial"/>
        <w:b/>
        <w:color w:val="607181"/>
        <w:sz w:val="17"/>
      </w:rPr>
      <w:t>MANTHINK  /  GD61x</w:t>
    </w:r>
    <w:r>
      <w:tab/>
    </w:r>
    <w:r>
      <w:rPr>
        <w:rFonts w:ascii="Arial" w:hAnsi="Arial" w:eastAsia="Arial Unicode MS" w:cs="Arial"/>
        <w:color w:val="607181"/>
        <w:sz w:val="16"/>
      </w:rPr>
      <w:t>DEVICE MANUAL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300" w:lineRule="auto"/>
    </w:pPr>
    <w:rPr>
      <w:rFonts w:ascii="Arial" w:hAnsi="Arial" w:eastAsia="Arial Unicode MS"/>
      <w:color w:val="243442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200"/>
      <w:outlineLvl w:val="0"/>
    </w:pPr>
    <w:rPr>
      <w:rFonts w:asciiTheme="majorHAnsi" w:eastAsiaTheme="majorEastAsia" w:hAnsiTheme="majorHAnsi" w:cstheme="majorBidi" w:ascii="Arial" w:hAnsi="Arial" w:eastAsia="Arial Unicode MS"/>
      <w:b/>
      <w:bCs/>
      <w:color w:val="1E6F9F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80" w:after="140"/>
      <w:outlineLvl w:val="1"/>
    </w:pPr>
    <w:rPr>
      <w:rFonts w:asciiTheme="majorHAnsi" w:eastAsiaTheme="majorEastAsia" w:hAnsiTheme="majorHAnsi" w:cstheme="majorBidi" w:ascii="Arial" w:hAnsi="Arial" w:eastAsia="Arial Unicode MS"/>
      <w:b/>
      <w:bCs/>
      <w:color w:val="1E6F9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100"/>
      <w:outlineLvl w:val="2"/>
    </w:pPr>
    <w:rPr>
      <w:rFonts w:asciiTheme="majorHAnsi" w:eastAsiaTheme="majorEastAsia" w:hAnsiTheme="majorHAnsi" w:cstheme="majorBidi" w:ascii="Arial" w:hAnsi="Arial" w:eastAsia="Arial Unicode MS"/>
      <w:b/>
      <w:bCs/>
      <w:color w:val="18324A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160" w:after="80"/>
      <w:outlineLvl w:val="3"/>
    </w:pPr>
    <w:rPr>
      <w:rFonts w:asciiTheme="majorHAnsi" w:eastAsiaTheme="majorEastAsia" w:hAnsiTheme="majorHAnsi" w:cstheme="majorBidi" w:ascii="Arial" w:hAnsi="Arial" w:eastAsia="Arial Unicode MS"/>
      <w:b/>
      <w:bCs/>
      <w:i/>
      <w:iCs/>
      <w:color w:val="18324A"/>
      <w:sz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spacing w:after="80" w:line="300" w:lineRule="auto"/>
      <w:ind w:left="540" w:hanging="271"/>
      <w:contextualSpacing/>
    </w:pPr>
    <w:rPr>
      <w:rFonts w:ascii="Arial" w:hAnsi="Arial" w:eastAsia="Arial Unicode MS"/>
      <w:sz w:val="22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spacing w:after="80" w:line="300" w:lineRule="auto"/>
      <w:ind w:left="540" w:hanging="271"/>
      <w:contextualSpacing/>
    </w:pPr>
    <w:rPr>
      <w:rFonts w:ascii="Arial" w:hAnsi="Arial" w:eastAsia="Arial Unicode MS"/>
      <w:sz w:val="22"/>
    </w:r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CodeBlock">
    <w:name w:val="Code Block"/>
    <w:pPr>
      <w:spacing w:before="100" w:after="140" w:line="276" w:lineRule="auto"/>
      <w:ind w:left="259" w:right="259"/>
      <w:shd w:fill="F0F4F6"/>
    </w:pPr>
    <w:rPr>
      <w:rFonts w:ascii="Menlo" w:hAnsi="Menlo" w:eastAsia="Arial Unicode MS"/>
      <w:color w:val="18324A"/>
      <w:sz w:val="18"/>
    </w:rPr>
  </w:style>
  <w:style w:type="paragraph" w:customStyle="1" w:styleId="FigureCaption">
    <w:name w:val="Figure Caption"/>
    <w:pPr>
      <w:spacing w:before="60" w:after="160"/>
      <w:jc w:val="center"/>
    </w:pPr>
    <w:rPr>
      <w:rFonts w:ascii="Arial" w:hAnsi="Arial" w:eastAsia="Arial Unicode MS"/>
      <w:color w:val="607181"/>
      <w:sz w:val="17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image" Target="media/image1.png"/><Relationship Id="rId12" Type="http://schemas.openxmlformats.org/officeDocument/2006/relationships/hyperlink" Target="/en/Device/LoRaWANGateway/gd6-configuration-guide" TargetMode="External"/><Relationship Id="rId13" Type="http://schemas.openxmlformats.org/officeDocument/2006/relationships/image" Target="media/image2.png"/><Relationship Id="rId14" Type="http://schemas.openxmlformats.org/officeDocument/2006/relationships/hyperlink" Target="/en/Device/LoRaWANGateway/gd6-configuration-guide#_9-configuration-troubleshooting" TargetMode="External"/><Relationship Id="rId15" Type="http://schemas.openxmlformats.org/officeDocument/2006/relationships/hyperlink" Target="/en/Device/LoRaWANGateway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GD61x Indoor LoRaWAN Gateway Specification and User Guide</dc:title>
  <dc:subject>ManThink device manual</dc:subject>
  <dc:creator/>
  <cp:keywords>ManThink, ThinkLink, LoRaWAN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