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40" w:after="680"/>
        <w:rPr/>
      </w:pPr>
      <w:r>
        <w:rPr>
          <w:rFonts w:eastAsia="Arial Unicode MS" w:cs="Arial"/>
          <w:b/>
          <w:color w:val="2CA6A4"/>
          <w:sz w:val="19"/>
        </w:rPr>
        <w:t>MANTHINK  /  INDUSTRIAL IoT</w:t>
      </w:r>
    </w:p>
    <w:p>
      <w:pPr>
        <w:pStyle w:val="Normal"/>
        <w:spacing w:before="0" w:after="40"/>
        <w:rPr/>
      </w:pPr>
      <w:r>
        <w:rPr>
          <w:rFonts w:eastAsia="Arial Unicode MS" w:cs="Arial"/>
          <w:b/>
          <w:color w:val="18324A"/>
          <w:sz w:val="68"/>
        </w:rPr>
        <w:t>GD71</w:t>
      </w:r>
    </w:p>
    <w:p>
      <w:pPr>
        <w:pStyle w:val="Normal"/>
        <w:spacing w:before="0" w:after="80"/>
        <w:rPr/>
      </w:pPr>
      <w:r>
        <w:rPr>
          <w:rFonts w:eastAsia="Arial Unicode MS" w:cs="Arial"/>
          <w:b/>
          <w:color w:val="243442"/>
          <w:sz w:val="34"/>
        </w:rPr>
        <w:t>LoRaWAN Gateway</w:t>
      </w:r>
    </w:p>
    <w:p>
      <w:pPr>
        <w:pStyle w:val="Normal"/>
        <w:spacing w:before="0" w:after="360"/>
        <w:rPr/>
      </w:pPr>
      <w:r>
        <w:rPr>
          <w:rFonts w:eastAsia="Arial Unicode MS" w:cs="Arial"/>
          <w:color w:val="607181"/>
          <w:sz w:val="23"/>
        </w:rPr>
        <w:t>Standardized Device Manual</w:t>
      </w:r>
    </w:p>
    <w:p>
      <w:pPr>
        <w:pStyle w:val="Normal"/>
        <w:spacing w:before="0" w:after="320"/>
        <w:jc w:val="center"/>
        <w:rPr/>
      </w:pPr>
      <w:r>
        <w:rPr/>
        <w:drawing>
          <wp:inline distT="0" distB="0" distL="0" distR="0">
            <wp:extent cx="3433445" cy="4297680"/>
            <wp:effectExtent l="0" t="0" r="0" b="0"/>
            <wp:docPr id="1" name="Picture 1" descr="GD71 Indoor LoRaWAN Gateway Manual" title="GD71 Indoor LoRaWAN Gateway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D71 Indoor LoRaWAN Gateway Manual" title="GD71 Indoor LoRaWAN Gateway Manual"/>
                    <pic:cNvPicPr>
                      <a:picLocks noChangeAspect="1" noChangeArrowheads="1"/>
                    </pic:cNvPicPr>
                  </pic:nvPicPr>
                  <pic:blipFill>
                    <a:blip r:embed="rId2"/>
                    <a:stretch>
                      <a:fillRect/>
                    </a:stretch>
                  </pic:blipFill>
                  <pic:spPr bwMode="auto">
                    <a:xfrm>
                      <a:off x="0" y="0"/>
                      <a:ext cx="3433445" cy="4297680"/>
                    </a:xfrm>
                    <a:prstGeom prst="rect">
                      <a:avLst/>
                    </a:prstGeom>
                    <a:noFill/>
                  </pic:spPr>
                </pic:pic>
              </a:graphicData>
            </a:graphic>
          </wp:inline>
        </w:drawing>
      </w:r>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4680"/>
        <w:gridCol w:w="4680"/>
      </w:tblGrid>
      <w:tr>
        <w:trPr>
          <w:cantSplit/>
        </w:trPr>
        <w:tc>
          <w:tcPr>
            <w:tcW w:w="4680" w:type="dxa"/>
            <w:tcBorders>
              <w:top w:val="nil"/>
              <w:start w:val="nil"/>
              <w:bottom w:val="nil"/>
              <w:end w:val="nil"/>
            </w:tcBorders>
            <w:shd w:fill="E8F1F6" w:val="clear"/>
            <w:vAlign w:val="center"/>
          </w:tcPr>
          <w:p>
            <w:pPr>
              <w:pStyle w:val="Normal"/>
              <w:widowControl/>
              <w:spacing w:before="0" w:after="0"/>
              <w:jc w:val="start"/>
              <w:rPr>
                <w:rFonts w:cs=""/>
                <w:kern w:val="0"/>
                <w:szCs w:val="22"/>
                <w:lang w:val="en-US" w:eastAsia="en-US" w:bidi="ar-SA"/>
              </w:rPr>
            </w:pPr>
            <w:r>
              <w:rPr>
                <w:rFonts w:eastAsia="Arial Unicode MS" w:cs="Arial"/>
                <w:b/>
                <w:color w:val="607181"/>
                <w:kern w:val="0"/>
                <w:sz w:val="16"/>
                <w:szCs w:val="22"/>
                <w:lang w:val="en-US" w:eastAsia="en-US" w:bidi="ar-SA"/>
              </w:rPr>
              <w:t>VERSION</w:t>
              <w:br/>
            </w:r>
            <w:r>
              <w:rPr>
                <w:rFonts w:eastAsia="Arial Unicode MS" w:cs="Arial"/>
                <w:b/>
                <w:color w:val="18324A"/>
                <w:kern w:val="0"/>
                <w:sz w:val="22"/>
                <w:szCs w:val="22"/>
                <w:lang w:val="en-US" w:eastAsia="en-US" w:bidi="ar-SA"/>
              </w:rPr>
              <w:t>Current</w:t>
            </w:r>
          </w:p>
        </w:tc>
        <w:tc>
          <w:tcPr>
            <w:tcW w:w="4680" w:type="dxa"/>
            <w:tcBorders>
              <w:top w:val="nil"/>
              <w:start w:val="nil"/>
              <w:bottom w:val="nil"/>
              <w:end w:val="nil"/>
            </w:tcBorders>
            <w:shd w:fill="E8F1F6" w:val="clear"/>
            <w:vAlign w:val="center"/>
          </w:tcPr>
          <w:p>
            <w:pPr>
              <w:pStyle w:val="Normal"/>
              <w:widowControl/>
              <w:spacing w:before="0" w:after="0"/>
              <w:jc w:val="start"/>
              <w:rPr>
                <w:rFonts w:cs=""/>
                <w:kern w:val="0"/>
                <w:szCs w:val="22"/>
                <w:lang w:val="en-US" w:eastAsia="en-US" w:bidi="ar-SA"/>
              </w:rPr>
            </w:pPr>
            <w:r>
              <w:rPr>
                <w:rFonts w:eastAsia="Arial Unicode MS" w:cs="Arial"/>
                <w:b/>
                <w:color w:val="607181"/>
                <w:kern w:val="0"/>
                <w:sz w:val="16"/>
                <w:szCs w:val="22"/>
                <w:lang w:val="en-US" w:eastAsia="en-US" w:bidi="ar-SA"/>
              </w:rPr>
              <w:t>DOCUMENT</w:t>
              <w:br/>
            </w:r>
            <w:r>
              <w:rPr>
                <w:rFonts w:eastAsia="Arial Unicode MS" w:cs="Arial"/>
                <w:b/>
                <w:color w:val="18324A"/>
                <w:kern w:val="0"/>
                <w:sz w:val="22"/>
                <w:szCs w:val="22"/>
                <w:lang w:val="en-US" w:eastAsia="en-US" w:bidi="ar-SA"/>
              </w:rPr>
              <w:t>Device Manual</w:t>
            </w:r>
          </w:p>
        </w:tc>
      </w:tr>
    </w:tbl>
    <w:p>
      <w:pPr>
        <w:pStyle w:val="Normal"/>
        <w:rPr/>
      </w:pPr>
      <w:r>
        <w:rPr/>
      </w:r>
      <w:r>
        <w:br w:type="page"/>
      </w:r>
    </w:p>
    <w:p>
      <w:pPr>
        <w:pStyle w:val="Normal"/>
        <w:spacing w:before="0" w:after="480"/>
        <w:rPr/>
      </w:pPr>
      <w:r>
        <w:rPr>
          <w:rFonts w:eastAsia="Arial Unicode MS" w:cs="Arial"/>
          <w:b/>
          <w:color w:val="18324A"/>
          <w:sz w:val="48"/>
        </w:rPr>
        <w:t>Revision History</w:t>
      </w:r>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399"/>
        <w:gridCol w:w="6961"/>
      </w:tblGrid>
      <w:tr>
        <w:trPr>
          <w:tblHeader w:val="true"/>
          <w:cantSplit/>
        </w:trPr>
        <w:tc>
          <w:tcPr>
            <w:tcW w:w="2399" w:type="dxa"/>
            <w:tcBorders/>
            <w:shd w:fill="18324A" w:val="clear"/>
            <w:vAlign w:val="center"/>
          </w:tcPr>
          <w:p>
            <w:pPr>
              <w:pStyle w:val="Normal"/>
              <w:widowControl/>
              <w:spacing w:before="0" w:after="0"/>
              <w:jc w:val="start"/>
              <w:rPr>
                <w:rFonts w:cs=""/>
                <w:kern w:val="0"/>
                <w:szCs w:val="22"/>
                <w:lang w:val="en-US" w:eastAsia="en-US" w:bidi="ar-SA"/>
              </w:rPr>
            </w:pPr>
            <w:r>
              <w:rPr>
                <w:rFonts w:eastAsia="Arial Unicode MS" w:cs="Arial"/>
                <w:b/>
                <w:color w:val="FFFFFF"/>
                <w:kern w:val="0"/>
                <w:sz w:val="20"/>
                <w:szCs w:val="22"/>
                <w:lang w:val="en-US" w:eastAsia="en-US" w:bidi="ar-SA"/>
              </w:rPr>
              <w:t>Version</w:t>
            </w:r>
          </w:p>
        </w:tc>
        <w:tc>
          <w:tcPr>
            <w:tcW w:w="6961" w:type="dxa"/>
            <w:tcBorders/>
            <w:shd w:fill="18324A" w:val="clear"/>
            <w:vAlign w:val="center"/>
          </w:tcPr>
          <w:p>
            <w:pPr>
              <w:pStyle w:val="Normal"/>
              <w:widowControl/>
              <w:spacing w:before="0" w:after="0"/>
              <w:jc w:val="start"/>
              <w:rPr>
                <w:rFonts w:cs=""/>
                <w:kern w:val="0"/>
                <w:szCs w:val="22"/>
                <w:lang w:val="en-US" w:eastAsia="en-US" w:bidi="ar-SA"/>
              </w:rPr>
            </w:pPr>
            <w:r>
              <w:rPr>
                <w:rFonts w:eastAsia="Arial Unicode MS" w:cs="Arial"/>
                <w:b/>
                <w:color w:val="FFFFFF"/>
                <w:kern w:val="0"/>
                <w:sz w:val="20"/>
                <w:szCs w:val="22"/>
                <w:lang w:val="en-US" w:eastAsia="en-US" w:bidi="ar-SA"/>
              </w:rPr>
              <w:t>Change Description</w:t>
            </w:r>
          </w:p>
        </w:tc>
      </w:tr>
      <w:tr>
        <w:trPr>
          <w:cantSplit/>
        </w:trPr>
        <w:tc>
          <w:tcPr>
            <w:tcW w:w="2399" w:type="dxa"/>
            <w:tcBorders/>
            <w:vAlign w:val="center"/>
          </w:tcPr>
          <w:p>
            <w:pPr>
              <w:pStyle w:val="Normal"/>
              <w:widowControl/>
              <w:spacing w:before="0" w:after="0"/>
              <w:jc w:val="start"/>
              <w:rPr>
                <w:rFonts w:cs=""/>
                <w:kern w:val="0"/>
                <w:szCs w:val="22"/>
                <w:lang w:val="en-US" w:eastAsia="en-US" w:bidi="ar-SA"/>
              </w:rPr>
            </w:pPr>
            <w:r>
              <w:rPr>
                <w:rFonts w:eastAsia="Arial Unicode MS" w:cs="Arial"/>
                <w:b w:val="false"/>
                <w:color w:val="243442"/>
                <w:kern w:val="0"/>
                <w:sz w:val="20"/>
                <w:szCs w:val="22"/>
                <w:lang w:val="en-US" w:eastAsia="en-US" w:bidi="ar-SA"/>
              </w:rPr>
              <w:t>Current</w:t>
            </w:r>
          </w:p>
        </w:tc>
        <w:tc>
          <w:tcPr>
            <w:tcW w:w="6961" w:type="dxa"/>
            <w:tcBorders/>
            <w:vAlign w:val="center"/>
          </w:tcPr>
          <w:p>
            <w:pPr>
              <w:pStyle w:val="Normal"/>
              <w:widowControl/>
              <w:spacing w:before="0" w:after="0"/>
              <w:jc w:val="start"/>
              <w:rPr>
                <w:rFonts w:cs=""/>
                <w:kern w:val="0"/>
                <w:szCs w:val="22"/>
                <w:lang w:val="en-US" w:eastAsia="en-US" w:bidi="ar-SA"/>
              </w:rPr>
            </w:pPr>
            <w:r>
              <w:rPr>
                <w:rFonts w:eastAsia="Arial Unicode MS" w:cs="Arial"/>
                <w:b w:val="false"/>
                <w:color w:val="243442"/>
                <w:kern w:val="0"/>
                <w:sz w:val="20"/>
                <w:szCs w:val="22"/>
                <w:lang w:val="en-US" w:eastAsia="en-US" w:bidi="ar-SA"/>
              </w:rPr>
              <w:t>Current published version</w:t>
            </w:r>
          </w:p>
        </w:tc>
      </w:tr>
    </w:tbl>
    <w:p>
      <w:pPr>
        <w:pStyle w:val="Normal"/>
        <w:rPr/>
      </w:pPr>
      <w:r>
        <w:rPr/>
      </w:r>
      <w:r>
        <w:br w:type="page"/>
      </w:r>
    </w:p>
    <w:p>
      <w:pPr>
        <w:pStyle w:val="Normal"/>
        <w:spacing w:before="0" w:after="100"/>
        <w:rPr/>
      </w:pPr>
      <w:r>
        <w:rPr>
          <w:rFonts w:eastAsia="Arial Unicode MS" w:cs="Arial"/>
          <w:b/>
          <w:color w:val="2CA6A4"/>
          <w:sz w:val="17"/>
        </w:rPr>
        <w:t>DOCUMENT NAVIGATION</w:t>
      </w:r>
    </w:p>
    <w:p>
      <w:pPr>
        <w:pStyle w:val="Normal"/>
        <w:pBdr>
          <w:bottom w:val="single" w:sz="12" w:space="6" w:color="2CA6A4"/>
        </w:pBdr>
        <w:spacing w:before="0" w:after="400"/>
        <w:rPr/>
      </w:pPr>
      <w:r>
        <w:rPr>
          <w:rFonts w:eastAsia="Arial Unicode MS" w:cs="Arial"/>
          <w:b/>
          <w:color w:val="18324A"/>
          <w:sz w:val="48"/>
        </w:rPr>
        <w:t>Contents</w:t>
      </w:r>
    </w:p>
    <w:p>
      <w:pPr>
        <w:pStyle w:val="ManualTOC1"/>
        <w:rPr/>
      </w:pPr>
      <w:r>
        <w:rPr>
          <w:rFonts w:eastAsia="Arial Unicode MS" w:cs="Arial"/>
          <w:b/>
          <w:color w:val="18324A"/>
          <w:sz w:val="21"/>
        </w:rPr>
        <w:t>1. Product Description</w:t>
      </w:r>
      <w:r>
        <w:rPr/>
        <w:tab/>
      </w:r>
      <w:r>
        <w:rPr/>
        <w:fldChar w:fldCharType="begin"/>
      </w:r>
      <w:r>
        <w:rPr/>
        <w:instrText xml:space="preserve"> PAGEREF manual_heading_001 \h </w:instrText>
      </w:r>
      <w:r>
        <w:rPr/>
        <w:fldChar w:fldCharType="separate"/>
      </w:r>
      <w:r>
        <w:rPr/>
        <w:t>4</w:t>
      </w:r>
      <w:r>
        <w:rPr/>
        <w:fldChar w:fldCharType="end"/>
      </w:r>
    </w:p>
    <w:p>
      <w:pPr>
        <w:pStyle w:val="ManualTOC1"/>
        <w:rPr/>
      </w:pPr>
      <w:r>
        <w:rPr>
          <w:rFonts w:eastAsia="Arial Unicode MS" w:cs="Arial"/>
          <w:b/>
          <w:color w:val="18324A"/>
          <w:sz w:val="21"/>
        </w:rPr>
        <w:t>2. Main Features</w:t>
      </w:r>
      <w:r>
        <w:rPr/>
        <w:tab/>
      </w:r>
      <w:r>
        <w:rPr/>
        <w:fldChar w:fldCharType="begin"/>
      </w:r>
      <w:r>
        <w:rPr/>
        <w:instrText xml:space="preserve"> PAGEREF manual_heading_002 \h </w:instrText>
      </w:r>
      <w:r>
        <w:rPr/>
        <w:fldChar w:fldCharType="separate"/>
      </w:r>
      <w:r>
        <w:rPr/>
        <w:t>4</w:t>
      </w:r>
      <w:r>
        <w:rPr/>
        <w:fldChar w:fldCharType="end"/>
      </w:r>
    </w:p>
    <w:p>
      <w:pPr>
        <w:pStyle w:val="ManualTOC1"/>
        <w:rPr/>
      </w:pPr>
      <w:r>
        <w:rPr>
          <w:rFonts w:eastAsia="Arial Unicode MS" w:cs="Arial"/>
          <w:b/>
          <w:color w:val="18324A"/>
          <w:sz w:val="21"/>
        </w:rPr>
        <w:t>3. Technical Specifications</w:t>
      </w:r>
      <w:r>
        <w:rPr/>
        <w:tab/>
      </w:r>
      <w:r>
        <w:rPr/>
        <w:fldChar w:fldCharType="begin"/>
      </w:r>
      <w:r>
        <w:rPr/>
        <w:instrText xml:space="preserve"> PAGEREF manual_heading_003 \h </w:instrText>
      </w:r>
      <w:r>
        <w:rPr/>
        <w:fldChar w:fldCharType="separate"/>
      </w:r>
      <w:r>
        <w:rPr/>
        <w:t>5</w:t>
      </w:r>
      <w:r>
        <w:rPr/>
        <w:fldChar w:fldCharType="end"/>
      </w:r>
    </w:p>
    <w:p>
      <w:pPr>
        <w:pStyle w:val="ManualTOC1"/>
        <w:rPr/>
      </w:pPr>
      <w:r>
        <w:rPr>
          <w:rFonts w:eastAsia="Arial Unicode MS" w:cs="Arial"/>
          <w:b/>
          <w:color w:val="18324A"/>
          <w:sz w:val="21"/>
        </w:rPr>
        <w:t>4. Accessories</w:t>
      </w:r>
      <w:r>
        <w:rPr/>
        <w:tab/>
      </w:r>
      <w:r>
        <w:rPr/>
        <w:fldChar w:fldCharType="begin"/>
      </w:r>
      <w:r>
        <w:rPr/>
        <w:instrText xml:space="preserve"> PAGEREF manual_heading_004 \h </w:instrText>
      </w:r>
      <w:r>
        <w:rPr/>
        <w:fldChar w:fldCharType="separate"/>
      </w:r>
      <w:r>
        <w:rPr/>
        <w:t>8</w:t>
      </w:r>
      <w:r>
        <w:rPr/>
        <w:fldChar w:fldCharType="end"/>
      </w:r>
    </w:p>
    <w:p>
      <w:pPr>
        <w:pStyle w:val="ManualTOC1"/>
        <w:rPr/>
      </w:pPr>
      <w:r>
        <w:rPr>
          <w:rFonts w:eastAsia="Arial Unicode MS" w:cs="Arial"/>
          <w:b/>
          <w:color w:val="18324A"/>
          <w:sz w:val="21"/>
        </w:rPr>
        <w:t>5. Product Dimensions</w:t>
      </w:r>
      <w:r>
        <w:rPr/>
        <w:tab/>
      </w:r>
      <w:r>
        <w:rPr/>
        <w:fldChar w:fldCharType="begin"/>
      </w:r>
      <w:r>
        <w:rPr/>
        <w:instrText xml:space="preserve"> PAGEREF manual_heading_005 \h </w:instrText>
      </w:r>
      <w:r>
        <w:rPr/>
        <w:fldChar w:fldCharType="separate"/>
      </w:r>
      <w:r>
        <w:rPr/>
        <w:t>8</w:t>
      </w:r>
      <w:r>
        <w:rPr/>
        <w:fldChar w:fldCharType="end"/>
      </w:r>
    </w:p>
    <w:p>
      <w:pPr>
        <w:pStyle w:val="ManualTOC1"/>
        <w:rPr/>
      </w:pPr>
      <w:r>
        <w:rPr>
          <w:rFonts w:eastAsia="Arial Unicode MS" w:cs="Arial"/>
          <w:b/>
          <w:color w:val="18324A"/>
          <w:sz w:val="21"/>
        </w:rPr>
        <w:t>6. Interface Description</w:t>
      </w:r>
      <w:r>
        <w:rPr/>
        <w:tab/>
      </w:r>
      <w:r>
        <w:rPr/>
        <w:fldChar w:fldCharType="begin"/>
      </w:r>
      <w:r>
        <w:rPr/>
        <w:instrText xml:space="preserve"> PAGEREF manual_heading_006 \h </w:instrText>
      </w:r>
      <w:r>
        <w:rPr/>
        <w:fldChar w:fldCharType="separate"/>
      </w:r>
      <w:r>
        <w:rPr/>
        <w:t>9</w:t>
      </w:r>
      <w:r>
        <w:rPr/>
        <w:fldChar w:fldCharType="end"/>
      </w:r>
    </w:p>
    <w:p>
      <w:pPr>
        <w:pStyle w:val="ManualTOC1"/>
        <w:rPr/>
      </w:pPr>
      <w:r>
        <w:rPr>
          <w:rFonts w:eastAsia="Arial Unicode MS" w:cs="Arial"/>
          <w:b/>
          <w:color w:val="18324A"/>
          <w:sz w:val="21"/>
        </w:rPr>
        <w:t>7. Indicator Description</w:t>
      </w:r>
      <w:r>
        <w:rPr/>
        <w:tab/>
      </w:r>
      <w:r>
        <w:rPr/>
        <w:fldChar w:fldCharType="begin"/>
      </w:r>
      <w:r>
        <w:rPr/>
        <w:instrText xml:space="preserve"> PAGEREF manual_heading_007 \h </w:instrText>
      </w:r>
      <w:r>
        <w:rPr/>
        <w:fldChar w:fldCharType="separate"/>
      </w:r>
      <w:r>
        <w:rPr/>
        <w:t>9</w:t>
      </w:r>
      <w:r>
        <w:rPr/>
        <w:fldChar w:fldCharType="end"/>
      </w:r>
    </w:p>
    <w:p>
      <w:pPr>
        <w:pStyle w:val="ManualTOC1"/>
        <w:rPr/>
      </w:pPr>
      <w:r>
        <w:rPr>
          <w:rFonts w:eastAsia="Arial Unicode MS" w:cs="Arial"/>
          <w:b/>
          <w:color w:val="18324A"/>
          <w:sz w:val="21"/>
        </w:rPr>
        <w:t>8. Product Model</w:t>
      </w:r>
      <w:r>
        <w:rPr/>
        <w:tab/>
      </w:r>
      <w:r>
        <w:rPr/>
        <w:fldChar w:fldCharType="begin"/>
      </w:r>
      <w:r>
        <w:rPr/>
        <w:instrText xml:space="preserve"> PAGEREF manual_heading_008 \h </w:instrText>
      </w:r>
      <w:r>
        <w:rPr/>
        <w:fldChar w:fldCharType="separate"/>
      </w:r>
      <w:r>
        <w:rPr/>
        <w:t>10</w:t>
      </w:r>
      <w:r>
        <w:rPr/>
        <w:fldChar w:fldCharType="end"/>
      </w:r>
    </w:p>
    <w:p>
      <w:pPr>
        <w:pStyle w:val="ManualTOC2"/>
        <w:rPr/>
      </w:pPr>
      <w:r>
        <w:rPr>
          <w:rFonts w:eastAsia="Arial Unicode MS" w:cs="Arial"/>
          <w:b w:val="false"/>
          <w:color w:val="607181"/>
          <w:sz w:val="19"/>
        </w:rPr>
        <w:t>8.1 Standard Model</w:t>
      </w:r>
      <w:r>
        <w:rPr/>
        <w:tab/>
      </w:r>
      <w:r>
        <w:rPr/>
        <w:fldChar w:fldCharType="begin"/>
      </w:r>
      <w:r>
        <w:rPr/>
        <w:instrText xml:space="preserve"> PAGEREF manual_heading_009 \h </w:instrText>
      </w:r>
      <w:r>
        <w:rPr/>
        <w:fldChar w:fldCharType="separate"/>
      </w:r>
      <w:r>
        <w:rPr/>
        <w:t>10</w:t>
      </w:r>
      <w:r>
        <w:rPr/>
        <w:fldChar w:fldCharType="end"/>
      </w:r>
    </w:p>
    <w:p>
      <w:pPr>
        <w:pStyle w:val="ManualTOC2"/>
        <w:rPr/>
      </w:pPr>
      <w:r>
        <w:rPr>
          <w:rFonts w:eastAsia="Arial Unicode MS" w:cs="Arial"/>
          <w:b w:val="false"/>
          <w:color w:val="607181"/>
          <w:sz w:val="19"/>
        </w:rPr>
        <w:t>8.2 Model Components</w:t>
      </w:r>
      <w:r>
        <w:rPr/>
        <w:tab/>
      </w:r>
      <w:r>
        <w:rPr/>
        <w:fldChar w:fldCharType="begin"/>
      </w:r>
      <w:r>
        <w:rPr/>
        <w:instrText xml:space="preserve"> PAGEREF manual_heading_010 \h </w:instrText>
      </w:r>
      <w:r>
        <w:rPr/>
        <w:fldChar w:fldCharType="separate"/>
      </w:r>
      <w:r>
        <w:rPr/>
        <w:t>10</w:t>
      </w:r>
      <w:r>
        <w:rPr/>
        <w:fldChar w:fldCharType="end"/>
      </w:r>
    </w:p>
    <w:p>
      <w:pPr>
        <w:pStyle w:val="ManualTOC1"/>
        <w:rPr/>
      </w:pPr>
      <w:r>
        <w:rPr>
          <w:rFonts w:eastAsia="Arial Unicode MS" w:cs="Arial"/>
          <w:b/>
          <w:color w:val="18324A"/>
          <w:sz w:val="21"/>
        </w:rPr>
        <w:t>9. Gateway Installation</w:t>
      </w:r>
      <w:r>
        <w:rPr/>
        <w:tab/>
      </w:r>
      <w:r>
        <w:rPr/>
        <w:fldChar w:fldCharType="begin"/>
      </w:r>
      <w:r>
        <w:rPr/>
        <w:instrText xml:space="preserve"> PAGEREF manual_heading_011 \h </w:instrText>
      </w:r>
      <w:r>
        <w:rPr/>
        <w:fldChar w:fldCharType="separate"/>
      </w:r>
      <w:r>
        <w:rPr/>
        <w:t>10</w:t>
      </w:r>
      <w:r>
        <w:rPr/>
        <w:fldChar w:fldCharType="end"/>
      </w:r>
    </w:p>
    <w:p>
      <w:pPr>
        <w:pStyle w:val="ManualTOC1"/>
        <w:rPr/>
      </w:pPr>
      <w:r>
        <w:rPr>
          <w:rFonts w:eastAsia="Arial Unicode MS" w:cs="Arial"/>
          <w:b/>
          <w:color w:val="18324A"/>
          <w:sz w:val="21"/>
        </w:rPr>
        <w:t>10. Accessory Connections</w:t>
      </w:r>
      <w:r>
        <w:rPr/>
        <w:tab/>
      </w:r>
      <w:r>
        <w:rPr/>
        <w:fldChar w:fldCharType="begin"/>
      </w:r>
      <w:r>
        <w:rPr/>
        <w:instrText xml:space="preserve"> PAGEREF manual_heading_012 \h </w:instrText>
      </w:r>
      <w:r>
        <w:rPr/>
        <w:fldChar w:fldCharType="separate"/>
      </w:r>
      <w:r>
        <w:rPr/>
        <w:t>10</w:t>
      </w:r>
      <w:r>
        <w:rPr/>
        <w:fldChar w:fldCharType="end"/>
      </w:r>
    </w:p>
    <w:p>
      <w:pPr>
        <w:pStyle w:val="ManualTOC2"/>
        <w:rPr/>
      </w:pPr>
      <w:r>
        <w:rPr>
          <w:rFonts w:eastAsia="Arial Unicode MS" w:cs="Arial"/>
          <w:b w:val="false"/>
          <w:color w:val="607181"/>
          <w:sz w:val="19"/>
        </w:rPr>
        <w:t>10.1 Antenna Connection</w:t>
      </w:r>
      <w:r>
        <w:rPr/>
        <w:tab/>
      </w:r>
      <w:r>
        <w:rPr/>
        <w:fldChar w:fldCharType="begin"/>
      </w:r>
      <w:r>
        <w:rPr/>
        <w:instrText xml:space="preserve"> PAGEREF manual_heading_013 \h </w:instrText>
      </w:r>
      <w:r>
        <w:rPr/>
        <w:fldChar w:fldCharType="separate"/>
      </w:r>
      <w:r>
        <w:rPr/>
        <w:t>10</w:t>
      </w:r>
      <w:r>
        <w:rPr/>
        <w:fldChar w:fldCharType="end"/>
      </w:r>
    </w:p>
    <w:p>
      <w:pPr>
        <w:pStyle w:val="ManualTOC2"/>
        <w:rPr/>
      </w:pPr>
      <w:r>
        <w:rPr>
          <w:rFonts w:eastAsia="Arial Unicode MS" w:cs="Arial"/>
          <w:b w:val="false"/>
          <w:color w:val="607181"/>
          <w:sz w:val="19"/>
        </w:rPr>
        <w:t>10.2 Type-C Power Connection</w:t>
      </w:r>
      <w:r>
        <w:rPr/>
        <w:tab/>
      </w:r>
      <w:r>
        <w:rPr/>
        <w:fldChar w:fldCharType="begin"/>
      </w:r>
      <w:r>
        <w:rPr/>
        <w:instrText xml:space="preserve"> PAGEREF manual_heading_014 \h </w:instrText>
      </w:r>
      <w:r>
        <w:rPr/>
        <w:fldChar w:fldCharType="separate"/>
      </w:r>
      <w:r>
        <w:rPr/>
        <w:t>11</w:t>
      </w:r>
      <w:r>
        <w:rPr/>
        <w:fldChar w:fldCharType="end"/>
      </w:r>
    </w:p>
    <w:p>
      <w:pPr>
        <w:pStyle w:val="ManualTOC2"/>
        <w:rPr/>
      </w:pPr>
      <w:r>
        <w:rPr>
          <w:rFonts w:eastAsia="Arial Unicode MS" w:cs="Arial"/>
          <w:b w:val="false"/>
          <w:color w:val="607181"/>
          <w:sz w:val="19"/>
        </w:rPr>
        <w:t>10.3 Network Cable Connection</w:t>
      </w:r>
      <w:r>
        <w:rPr/>
        <w:tab/>
      </w:r>
      <w:r>
        <w:rPr/>
        <w:fldChar w:fldCharType="begin"/>
      </w:r>
      <w:r>
        <w:rPr/>
        <w:instrText xml:space="preserve"> PAGEREF manual_heading_015 \h </w:instrText>
      </w:r>
      <w:r>
        <w:rPr/>
        <w:fldChar w:fldCharType="separate"/>
      </w:r>
      <w:r>
        <w:rPr/>
        <w:t>12</w:t>
      </w:r>
      <w:r>
        <w:rPr/>
        <w:fldChar w:fldCharType="end"/>
      </w:r>
    </w:p>
    <w:p>
      <w:pPr>
        <w:pStyle w:val="ManualTOC2"/>
        <w:rPr/>
      </w:pPr>
      <w:r>
        <w:rPr>
          <w:rFonts w:eastAsia="Arial Unicode MS" w:cs="Arial"/>
          <w:b w:val="false"/>
          <w:color w:val="607181"/>
          <w:sz w:val="19"/>
        </w:rPr>
        <w:t>10.4 SIM Card Installation</w:t>
      </w:r>
      <w:r>
        <w:rPr/>
        <w:tab/>
      </w:r>
      <w:r>
        <w:rPr/>
        <w:fldChar w:fldCharType="begin"/>
      </w:r>
      <w:r>
        <w:rPr/>
        <w:instrText xml:space="preserve"> PAGEREF manual_heading_016 \h </w:instrText>
      </w:r>
      <w:r>
        <w:rPr/>
        <w:fldChar w:fldCharType="separate"/>
      </w:r>
      <w:r>
        <w:rPr/>
        <w:t>12</w:t>
      </w:r>
      <w:r>
        <w:rPr/>
        <w:fldChar w:fldCharType="end"/>
      </w:r>
    </w:p>
    <w:p>
      <w:pPr>
        <w:pStyle w:val="ManualTOC1"/>
        <w:rPr/>
      </w:pPr>
      <w:r>
        <w:rPr>
          <w:rFonts w:eastAsia="Arial Unicode MS" w:cs="Arial"/>
          <w:b/>
          <w:color w:val="18324A"/>
          <w:sz w:val="21"/>
        </w:rPr>
        <w:t>11. Gateway Mounting</w:t>
      </w:r>
      <w:r>
        <w:rPr/>
        <w:tab/>
      </w:r>
      <w:r>
        <w:rPr/>
        <w:fldChar w:fldCharType="begin"/>
      </w:r>
      <w:r>
        <w:rPr/>
        <w:instrText xml:space="preserve"> PAGEREF manual_heading_017 \h </w:instrText>
      </w:r>
      <w:r>
        <w:rPr/>
        <w:fldChar w:fldCharType="separate"/>
      </w:r>
      <w:r>
        <w:rPr/>
        <w:t>14</w:t>
      </w:r>
      <w:r>
        <w:rPr/>
        <w:fldChar w:fldCharType="end"/>
      </w:r>
    </w:p>
    <w:p>
      <w:pPr>
        <w:pStyle w:val="ManualTOC2"/>
        <w:rPr/>
      </w:pPr>
      <w:r>
        <w:rPr>
          <w:rFonts w:eastAsia="Arial Unicode MS" w:cs="Arial"/>
          <w:b w:val="false"/>
          <w:color w:val="607181"/>
          <w:sz w:val="19"/>
        </w:rPr>
        <w:t>11.1 Wall Mounting</w:t>
      </w:r>
      <w:r>
        <w:rPr/>
        <w:tab/>
      </w:r>
      <w:r>
        <w:rPr/>
        <w:fldChar w:fldCharType="begin"/>
      </w:r>
      <w:r>
        <w:rPr/>
        <w:instrText xml:space="preserve"> PAGEREF manual_heading_018 \h </w:instrText>
      </w:r>
      <w:r>
        <w:rPr/>
        <w:fldChar w:fldCharType="separate"/>
      </w:r>
      <w:r>
        <w:rPr/>
        <w:t>14</w:t>
      </w:r>
      <w:r>
        <w:rPr/>
        <w:fldChar w:fldCharType="end"/>
      </w:r>
    </w:p>
    <w:p>
      <w:pPr>
        <w:pStyle w:val="ManualTOC1"/>
        <w:rPr/>
      </w:pPr>
      <w:r>
        <w:rPr>
          <w:rFonts w:eastAsia="Arial Unicode MS" w:cs="Arial"/>
          <w:b/>
          <w:color w:val="18324A"/>
          <w:sz w:val="21"/>
        </w:rPr>
        <w:t>12. Gateway Configuration</w:t>
      </w:r>
      <w:r>
        <w:rPr/>
        <w:tab/>
      </w:r>
      <w:r>
        <w:rPr/>
        <w:fldChar w:fldCharType="begin"/>
      </w:r>
      <w:r>
        <w:rPr/>
        <w:instrText xml:space="preserve"> PAGEREF manual_heading_019 \h </w:instrText>
      </w:r>
      <w:r>
        <w:rPr/>
        <w:fldChar w:fldCharType="separate"/>
      </w:r>
      <w:r>
        <w:rPr/>
        <w:t>15</w:t>
      </w:r>
      <w:r>
        <w:rPr/>
        <w:fldChar w:fldCharType="end"/>
      </w:r>
    </w:p>
    <w:p>
      <w:pPr>
        <w:pStyle w:val="ManualTOC1"/>
        <w:rPr/>
      </w:pPr>
      <w:r>
        <w:rPr>
          <w:rFonts w:eastAsia="Arial Unicode MS" w:cs="Arial"/>
          <w:b/>
          <w:color w:val="18324A"/>
          <w:sz w:val="21"/>
        </w:rPr>
        <w:t>13. Platform Connections</w:t>
      </w:r>
      <w:r>
        <w:rPr/>
        <w:tab/>
      </w:r>
      <w:r>
        <w:rPr/>
        <w:fldChar w:fldCharType="begin"/>
      </w:r>
      <w:r>
        <w:rPr/>
        <w:instrText xml:space="preserve"> PAGEREF manual_heading_020 \h </w:instrText>
      </w:r>
      <w:r>
        <w:rPr/>
        <w:fldChar w:fldCharType="separate"/>
      </w:r>
      <w:r>
        <w:rPr/>
        <w:t>15</w:t>
      </w:r>
      <w:r>
        <w:rPr/>
        <w:fldChar w:fldCharType="end"/>
      </w:r>
    </w:p>
    <w:p>
      <w:pPr>
        <w:pStyle w:val="ManualTOC1"/>
        <w:rPr/>
      </w:pPr>
      <w:r>
        <w:rPr>
          <w:rFonts w:eastAsia="Arial Unicode MS" w:cs="Arial"/>
          <w:b/>
          <w:color w:val="18324A"/>
          <w:sz w:val="21"/>
        </w:rPr>
        <w:t>14. Security Configuration Recommendations</w:t>
      </w:r>
      <w:r>
        <w:rPr/>
        <w:tab/>
      </w:r>
      <w:r>
        <w:rPr/>
        <w:fldChar w:fldCharType="begin"/>
      </w:r>
      <w:r>
        <w:rPr/>
        <w:instrText xml:space="preserve"> PAGEREF manual_heading_021 \h </w:instrText>
      </w:r>
      <w:r>
        <w:rPr/>
        <w:fldChar w:fldCharType="separate"/>
      </w:r>
      <w:r>
        <w:rPr/>
        <w:t>16</w:t>
      </w:r>
      <w:r>
        <w:rPr/>
        <w:fldChar w:fldCharType="end"/>
      </w:r>
    </w:p>
    <w:p>
      <w:pPr>
        <w:pStyle w:val="Normal"/>
        <w:rPr/>
      </w:pPr>
      <w:r>
        <w:rPr/>
      </w:r>
      <w:r>
        <w:br w:type="page"/>
      </w:r>
    </w:p>
    <w:p>
      <w:pPr>
        <w:pStyle w:val="Heading1"/>
        <w:spacing w:before="0" w:after="200"/>
        <w:rPr/>
      </w:pPr>
      <w:bookmarkStart w:id="0" w:name="manual_heading_001"/>
      <w:r>
        <w:rPr>
          <w:rFonts w:eastAsia="Arial Unicode MS" w:cs="Arial" w:ascii="Arial" w:hAnsi="Arial"/>
          <w:color w:val="1E6F9F"/>
          <w:sz w:val="32"/>
        </w:rPr>
        <w:t>1. Product Description</w:t>
      </w:r>
      <w:bookmarkEnd w:id="0"/>
    </w:p>
    <w:p>
      <w:pPr>
        <w:pStyle w:val="Normal"/>
        <w:rPr/>
      </w:pPr>
      <w:r>
        <w:rPr>
          <w:rFonts w:eastAsia="Arial Unicode MS" w:cs="Arial"/>
          <w:color w:val="243442"/>
          <w:sz w:val="22"/>
        </w:rPr>
        <w:t>GD71 is an indoor, multi-channel, high-performance gateway designed by ManThink for LoRaWAN systems. It uses a high-performance processor, a Semtech SX1302 LoRa concentrator and an industrial-grade Wi-Fi module. It supports Ethernet, cellular, Wi-Fi access-point/client and Bluetooth Low Energy (BLE) connections. GD71 is suitable for campuses, offices, shopping malls, hotels, factories and other indoor IoT environments, and supports edge computing, protocol conversion, data buffering and local application extensions.</w:t>
      </w:r>
    </w:p>
    <w:p>
      <w:pPr>
        <w:pStyle w:val="Heading1"/>
        <w:rPr/>
      </w:pPr>
      <w:bookmarkStart w:id="1" w:name="manual_heading_002"/>
      <w:r>
        <w:rPr>
          <w:rFonts w:eastAsia="Arial Unicode MS" w:cs="Arial" w:ascii="Arial" w:hAnsi="Arial"/>
          <w:color w:val="1E6F9F"/>
          <w:sz w:val="32"/>
        </w:rPr>
        <w:t>2. Main Features</w:t>
      </w:r>
      <w:bookmarkEnd w:id="1"/>
    </w:p>
    <w:p>
      <w:pPr>
        <w:pStyle w:val="ListBullet"/>
        <w:numPr>
          <w:ilvl w:val="0"/>
          <w:numId w:val="1"/>
        </w:numPr>
        <w:ind w:hanging="271" w:start="540"/>
        <w:rPr/>
      </w:pPr>
      <w:r>
        <w:rPr>
          <w:rFonts w:eastAsia="Arial Unicode MS" w:cs="Arial"/>
          <w:color w:val="243442"/>
          <w:sz w:val="22"/>
        </w:rPr>
        <w:t>High-performance chipset, at least 512 MB DDR and at least 16 GB eMMC</w:t>
      </w:r>
    </w:p>
    <w:p>
      <w:pPr>
        <w:pStyle w:val="ListBullet"/>
        <w:numPr>
          <w:ilvl w:val="0"/>
          <w:numId w:val="1"/>
        </w:numPr>
        <w:ind w:hanging="271" w:start="540"/>
        <w:rPr/>
      </w:pPr>
      <w:r>
        <w:rPr>
          <w:rFonts w:eastAsia="Arial Unicode MS" w:cs="Arial"/>
          <w:color w:val="243442"/>
          <w:sz w:val="22"/>
        </w:rPr>
        <w:t>Semtech SX1302 LoRa concentrator with at least 8 LoRaWAN uplink channels, 8 frequency points and 16 demodulators</w:t>
      </w:r>
    </w:p>
    <w:p>
      <w:pPr>
        <w:pStyle w:val="ListBullet"/>
        <w:numPr>
          <w:ilvl w:val="0"/>
          <w:numId w:val="1"/>
        </w:numPr>
        <w:ind w:hanging="271" w:start="540"/>
        <w:rPr/>
      </w:pPr>
      <w:r>
        <w:rPr>
          <w:rFonts w:eastAsia="Arial Unicode MS" w:cs="Arial"/>
          <w:color w:val="243442"/>
          <w:sz w:val="22"/>
        </w:rPr>
        <w:t xml:space="preserve">-141 dBm LoRa receiver sensitivity at SF12/BW 125 kHz; maximum transmit power is 27 dBm for suffix </w:t>
      </w:r>
      <w:r>
        <w:rPr>
          <w:rFonts w:eastAsia="Arial Unicode MS" w:cs="Menlo" w:ascii="Menlo" w:hAnsi="Menlo"/>
          <w:color w:val="18324A"/>
          <w:sz w:val="21"/>
        </w:rPr>
        <w:t>-1</w:t>
      </w:r>
      <w:r>
        <w:rPr>
          <w:rFonts w:eastAsia="Arial Unicode MS" w:cs="Arial"/>
          <w:color w:val="243442"/>
          <w:sz w:val="22"/>
        </w:rPr>
        <w:t xml:space="preserve"> and 22 dBm for suffix </w:t>
      </w:r>
      <w:r>
        <w:rPr>
          <w:rFonts w:eastAsia="Arial Unicode MS" w:cs="Menlo" w:ascii="Menlo" w:hAnsi="Menlo"/>
          <w:color w:val="18324A"/>
          <w:sz w:val="21"/>
        </w:rPr>
        <w:t>-2</w:t>
      </w:r>
      <w:r>
        <w:rPr>
          <w:rFonts w:eastAsia="Arial Unicode MS" w:cs="Arial"/>
          <w:color w:val="243442"/>
          <w:sz w:val="22"/>
        </w:rPr>
        <w:t>, with a maximum-power tolerance of ±2 dBm</w:t>
      </w:r>
    </w:p>
    <w:p>
      <w:pPr>
        <w:pStyle w:val="ListBullet"/>
        <w:numPr>
          <w:ilvl w:val="0"/>
          <w:numId w:val="1"/>
        </w:numPr>
        <w:ind w:hanging="271" w:start="540"/>
        <w:rPr/>
      </w:pPr>
      <w:r>
        <w:rPr>
          <w:rFonts w:eastAsia="Arial Unicode MS" w:cs="Arial"/>
          <w:color w:val="243442"/>
          <w:sz w:val="22"/>
        </w:rPr>
        <w:t>Standard LoRaWAN and AS923 regional parameters, plus regional configurations for CN470, EU433, EU868, AU915 and US915</w:t>
      </w:r>
    </w:p>
    <w:p>
      <w:pPr>
        <w:pStyle w:val="ListBullet"/>
        <w:numPr>
          <w:ilvl w:val="0"/>
          <w:numId w:val="1"/>
        </w:numPr>
        <w:ind w:hanging="271" w:start="540"/>
        <w:rPr/>
      </w:pPr>
      <w:r>
        <w:rPr>
          <w:rFonts w:eastAsia="Arial Unicode MS" w:cs="Arial"/>
          <w:color w:val="243442"/>
          <w:sz w:val="22"/>
        </w:rPr>
        <w:t>Industrial-grade Wi-Fi module supporting access-point and client modes</w:t>
      </w:r>
    </w:p>
    <w:p>
      <w:pPr>
        <w:pStyle w:val="ListBullet"/>
        <w:numPr>
          <w:ilvl w:val="0"/>
          <w:numId w:val="1"/>
        </w:numPr>
        <w:ind w:hanging="271" w:start="540"/>
        <w:rPr/>
      </w:pPr>
      <w:r>
        <w:rPr>
          <w:rFonts w:eastAsia="Arial Unicode MS" w:cs="Arial"/>
          <w:color w:val="243442"/>
          <w:sz w:val="22"/>
        </w:rPr>
        <w:t>2.4 GHz or 5 GHz Wi-Fi, IEEE 802.11a/b/g/n, at least 100 Mbps download and at least 50 Mbps upload</w:t>
      </w:r>
    </w:p>
    <w:p>
      <w:pPr>
        <w:pStyle w:val="ListBullet"/>
        <w:numPr>
          <w:ilvl w:val="0"/>
          <w:numId w:val="1"/>
        </w:numPr>
        <w:ind w:hanging="271" w:start="540"/>
        <w:rPr/>
      </w:pPr>
      <w:r>
        <w:rPr>
          <w:rFonts w:eastAsia="Arial Unicode MS" w:cs="Arial"/>
          <w:color w:val="243442"/>
          <w:sz w:val="22"/>
        </w:rPr>
        <w:t>Bluetooth Low Energy (BLE)</w:t>
      </w:r>
    </w:p>
    <w:p>
      <w:pPr>
        <w:pStyle w:val="ListBullet"/>
        <w:numPr>
          <w:ilvl w:val="0"/>
          <w:numId w:val="1"/>
        </w:numPr>
        <w:ind w:hanging="271" w:start="540"/>
        <w:rPr/>
      </w:pPr>
      <w:r>
        <w:rPr>
          <w:rFonts w:eastAsia="Arial Unicode MS" w:cs="Arial"/>
          <w:color w:val="243442"/>
          <w:sz w:val="22"/>
        </w:rPr>
        <w:t>WPA2, AES and TLS</w:t>
      </w:r>
    </w:p>
    <w:p>
      <w:pPr>
        <w:pStyle w:val="ListBullet"/>
        <w:numPr>
          <w:ilvl w:val="0"/>
          <w:numId w:val="1"/>
        </w:numPr>
        <w:ind w:hanging="271" w:start="540"/>
        <w:rPr/>
      </w:pPr>
      <w:r>
        <w:rPr>
          <w:rFonts w:eastAsia="Arial Unicode MS" w:cs="Arial"/>
          <w:color w:val="243442"/>
          <w:sz w:val="22"/>
        </w:rPr>
        <w:t>PoE/PoE+ and USB Type-C power options</w:t>
      </w:r>
    </w:p>
    <w:p>
      <w:pPr>
        <w:pStyle w:val="ListBullet"/>
        <w:numPr>
          <w:ilvl w:val="0"/>
          <w:numId w:val="1"/>
        </w:numPr>
        <w:ind w:hanging="271" w:start="540"/>
        <w:rPr/>
      </w:pPr>
      <w:r>
        <w:rPr>
          <w:rFonts w:eastAsia="Arial Unicode MS" w:cs="Arial"/>
          <w:color w:val="243442"/>
          <w:sz w:val="22"/>
        </w:rPr>
        <w:t>Ethernet, 4G/LTE and Wi-Fi backhaul options, plus dual-gateway redundancy architecture</w:t>
      </w:r>
    </w:p>
    <w:p>
      <w:pPr>
        <w:pStyle w:val="ListBullet"/>
        <w:numPr>
          <w:ilvl w:val="0"/>
          <w:numId w:val="1"/>
        </w:numPr>
        <w:ind w:hanging="271" w:start="540"/>
        <w:rPr/>
      </w:pPr>
      <w:r>
        <w:rPr>
          <w:rFonts w:eastAsia="Arial Unicode MS" w:cs="Arial"/>
          <w:color w:val="243442"/>
          <w:sz w:val="22"/>
        </w:rPr>
        <w:t>GPS/BeiDou positioning and NTP clock synchronization</w:t>
      </w:r>
    </w:p>
    <w:p>
      <w:pPr>
        <w:pStyle w:val="ListBullet"/>
        <w:numPr>
          <w:ilvl w:val="0"/>
          <w:numId w:val="1"/>
        </w:numPr>
        <w:ind w:hanging="271" w:start="540"/>
        <w:rPr/>
      </w:pPr>
      <w:r>
        <w:rPr>
          <w:rFonts w:eastAsia="Arial Unicode MS" w:cs="Arial"/>
          <w:color w:val="243442"/>
          <w:sz w:val="22"/>
        </w:rPr>
        <w:t>MQTT, MQTTS, HTTP, HTTPS, SNMP, DHCP, static IP, NAT and ICMP</w:t>
      </w:r>
    </w:p>
    <w:p>
      <w:pPr>
        <w:pStyle w:val="ListBullet"/>
        <w:numPr>
          <w:ilvl w:val="0"/>
          <w:numId w:val="1"/>
        </w:numPr>
        <w:ind w:hanging="271" w:start="540"/>
        <w:rPr/>
      </w:pPr>
      <w:r>
        <w:rPr>
          <w:rFonts w:eastAsia="Arial Unicode MS" w:cs="Arial"/>
          <w:color w:val="243442"/>
          <w:sz w:val="22"/>
        </w:rPr>
        <w:t>Secure remote management, configuration and upgrades; supports Python and Node-RED for secondary development</w:t>
      </w:r>
    </w:p>
    <w:p>
      <w:pPr>
        <w:pStyle w:val="ListBullet"/>
        <w:numPr>
          <w:ilvl w:val="0"/>
          <w:numId w:val="1"/>
        </w:numPr>
        <w:ind w:hanging="271" w:start="540"/>
        <w:rPr/>
      </w:pPr>
      <w:r>
        <w:rPr>
          <w:rFonts w:eastAsia="Arial Unicode MS" w:cs="Arial"/>
          <w:color w:val="243442"/>
          <w:sz w:val="22"/>
        </w:rPr>
        <w:t>Automatic fault detection and recovery; reporting of CPU, memory, storage, network and LoRa communication-quality indicators</w:t>
      </w:r>
    </w:p>
    <w:p>
      <w:pPr>
        <w:pStyle w:val="ListBullet"/>
        <w:numPr>
          <w:ilvl w:val="0"/>
          <w:numId w:val="1"/>
        </w:numPr>
        <w:ind w:hanging="271" w:start="540"/>
        <w:rPr/>
      </w:pPr>
      <w:r>
        <w:rPr>
          <w:rFonts w:eastAsia="Arial Unicode MS" w:cs="Arial"/>
          <w:color w:val="243442"/>
          <w:sz w:val="22"/>
        </w:rPr>
        <w:t>Built-in indicators for LoRa, network, power/operation and faults</w:t>
      </w:r>
    </w:p>
    <w:p>
      <w:pPr>
        <w:pStyle w:val="ListBullet"/>
        <w:numPr>
          <w:ilvl w:val="0"/>
          <w:numId w:val="1"/>
        </w:numPr>
        <w:ind w:hanging="271" w:start="540"/>
        <w:rPr/>
      </w:pPr>
      <w:r>
        <w:rPr>
          <w:rFonts w:eastAsia="Arial Unicode MS" w:cs="Arial"/>
          <w:color w:val="243442"/>
          <w:sz w:val="22"/>
        </w:rPr>
        <w:t>Built-in TKL, including LoRaWAN network server and IoT platform, historical data, Thing Model and Dashboard</w:t>
      </w:r>
    </w:p>
    <w:p>
      <w:pPr>
        <w:pStyle w:val="ListBullet"/>
        <w:numPr>
          <w:ilvl w:val="0"/>
          <w:numId w:val="1"/>
        </w:numPr>
        <w:ind w:hanging="271" w:start="540"/>
        <w:rPr/>
      </w:pPr>
      <w:r>
        <w:rPr>
          <w:rFonts w:eastAsia="Arial Unicode MS" w:cs="Arial"/>
          <w:color w:val="243442"/>
          <w:sz w:val="22"/>
        </w:rPr>
        <w:t>Wall mounting or freestanding installation, with visual configuration and maintenance through gwTool7</w:t>
      </w:r>
    </w:p>
    <w:p>
      <w:pPr>
        <w:pStyle w:val="Heading1"/>
        <w:rPr/>
      </w:pPr>
      <w:bookmarkStart w:id="2" w:name="manual_heading_003"/>
      <w:r>
        <w:rPr>
          <w:rFonts w:eastAsia="Arial Unicode MS" w:cs="Arial" w:ascii="Arial" w:hAnsi="Arial"/>
          <w:color w:val="1E6F9F"/>
          <w:sz w:val="32"/>
        </w:rPr>
        <w:t>3. Technical Specifications</w:t>
      </w:r>
      <w:bookmarkEnd w:id="2"/>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000"/>
        <w:gridCol w:w="2250"/>
        <w:gridCol w:w="5110"/>
      </w:tblGrid>
      <w:tr>
        <w:trPr>
          <w:tblHeader w:val="true"/>
          <w:cantSplit/>
        </w:trPr>
        <w:tc>
          <w:tcPr>
            <w:tcW w:w="200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Category</w:t>
            </w:r>
          </w:p>
        </w:tc>
        <w:tc>
          <w:tcPr>
            <w:tcW w:w="225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Parameter</w:t>
            </w:r>
          </w:p>
        </w:tc>
        <w:tc>
          <w:tcPr>
            <w:tcW w:w="511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GD71 Specification</w:t>
            </w:r>
          </w:p>
        </w:tc>
      </w:tr>
      <w:tr>
        <w:trPr>
          <w:cantSplit/>
        </w:trPr>
        <w:tc>
          <w:tcPr>
            <w:tcW w:w="9360" w:type="dxa"/>
            <w:gridSpan w:val="3"/>
            <w:tcBorders/>
            <w:shd w:fill="E8F6F4" w:val="clear"/>
            <w:vAlign w:val="center"/>
          </w:tcPr>
          <w:p>
            <w:pPr>
              <w:pStyle w:val="Normal"/>
              <w:widowControl/>
              <w:spacing w:before="0" w:after="0"/>
              <w:jc w:val="start"/>
              <w:rPr>
                <w:rFonts w:cs=""/>
                <w:kern w:val="0"/>
                <w:szCs w:val="22"/>
                <w:lang w:val="en-US" w:eastAsia="en-US" w:bidi="ar-SA"/>
              </w:rPr>
            </w:pPr>
            <w:r>
              <w:rPr>
                <w:rFonts w:eastAsia="Arial Unicode MS" w:cs="Arial"/>
                <w:b/>
                <w:color w:val="18324A"/>
                <w:kern w:val="0"/>
                <w:sz w:val="18"/>
                <w:szCs w:val="22"/>
                <w:lang w:val="en-US" w:eastAsia="en-US" w:bidi="ar-SA"/>
              </w:rPr>
              <w:t>COMPUTE AND STORAGE</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SoC</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High-performance multi-core processor</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Memory</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DDR, ≥ 512 MB</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Storage</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eMMC, ≥ 16 GB</w:t>
            </w:r>
          </w:p>
        </w:tc>
      </w:tr>
    </w:tbl>
    <w:p>
      <w:pPr>
        <w:pStyle w:val="Normal"/>
        <w:spacing w:before="0" w:after="40"/>
        <w:rPr/>
      </w:pPr>
      <w:r>
        <w:rPr/>
      </w:r>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000"/>
        <w:gridCol w:w="2250"/>
        <w:gridCol w:w="5110"/>
      </w:tblGrid>
      <w:tr>
        <w:trPr>
          <w:tblHeader w:val="true"/>
          <w:cantSplit/>
        </w:trPr>
        <w:tc>
          <w:tcPr>
            <w:tcW w:w="200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Category</w:t>
            </w:r>
          </w:p>
        </w:tc>
        <w:tc>
          <w:tcPr>
            <w:tcW w:w="225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Parameter</w:t>
            </w:r>
          </w:p>
        </w:tc>
        <w:tc>
          <w:tcPr>
            <w:tcW w:w="511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GD71 Specification</w:t>
            </w:r>
          </w:p>
        </w:tc>
      </w:tr>
      <w:tr>
        <w:trPr>
          <w:cantSplit/>
        </w:trPr>
        <w:tc>
          <w:tcPr>
            <w:tcW w:w="9360" w:type="dxa"/>
            <w:gridSpan w:val="3"/>
            <w:tcBorders/>
            <w:shd w:fill="E8F6F4" w:val="clear"/>
            <w:vAlign w:val="center"/>
          </w:tcPr>
          <w:p>
            <w:pPr>
              <w:pStyle w:val="Normal"/>
              <w:widowControl/>
              <w:spacing w:before="0" w:after="0"/>
              <w:jc w:val="start"/>
              <w:rPr>
                <w:rFonts w:cs=""/>
                <w:kern w:val="0"/>
                <w:szCs w:val="22"/>
                <w:lang w:val="en-US" w:eastAsia="en-US" w:bidi="ar-SA"/>
              </w:rPr>
            </w:pPr>
            <w:r>
              <w:rPr>
                <w:rFonts w:eastAsia="Arial Unicode MS" w:cs="Arial"/>
                <w:b/>
                <w:color w:val="18324A"/>
                <w:kern w:val="0"/>
                <w:sz w:val="18"/>
                <w:szCs w:val="22"/>
                <w:lang w:val="en-US" w:eastAsia="en-US" w:bidi="ar-SA"/>
              </w:rPr>
              <w:t>SOFTWARE AND PLATFORM</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Built-in platform</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Built-in TKL LoRaWAN network server and IoT platform</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External platforms/protocols</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ThinkLink, ChirpStack, TTN, Basic Station and GWMP</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Data services</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PostgreSQL, Redis, historical data storage, Thing Model, application data parsing and Dashboard</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Secondary development</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Supports Python and Node-RED</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Remote operations</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Remote management, configuration and upgrades over SSH</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Fault handling</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Automatic fault detection and recovery</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Monitoring</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Reporting of CPU, memory and storage usage, network status and LoRa communication quality</w:t>
            </w:r>
          </w:p>
        </w:tc>
      </w:tr>
    </w:tbl>
    <w:p>
      <w:pPr>
        <w:pStyle w:val="Normal"/>
        <w:spacing w:before="0" w:after="40"/>
        <w:rPr/>
      </w:pPr>
      <w:r>
        <w:rPr/>
      </w:r>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000"/>
        <w:gridCol w:w="2250"/>
        <w:gridCol w:w="5110"/>
      </w:tblGrid>
      <w:tr>
        <w:trPr>
          <w:tblHeader w:val="true"/>
          <w:cantSplit/>
        </w:trPr>
        <w:tc>
          <w:tcPr>
            <w:tcW w:w="200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Category</w:t>
            </w:r>
          </w:p>
        </w:tc>
        <w:tc>
          <w:tcPr>
            <w:tcW w:w="225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Parameter</w:t>
            </w:r>
          </w:p>
        </w:tc>
        <w:tc>
          <w:tcPr>
            <w:tcW w:w="511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GD71 Specification</w:t>
            </w:r>
          </w:p>
        </w:tc>
      </w:tr>
      <w:tr>
        <w:trPr>
          <w:cantSplit/>
        </w:trPr>
        <w:tc>
          <w:tcPr>
            <w:tcW w:w="9360" w:type="dxa"/>
            <w:gridSpan w:val="3"/>
            <w:tcBorders/>
            <w:shd w:fill="E8F6F4" w:val="clear"/>
            <w:vAlign w:val="center"/>
          </w:tcPr>
          <w:p>
            <w:pPr>
              <w:pStyle w:val="Normal"/>
              <w:widowControl/>
              <w:spacing w:before="0" w:after="0"/>
              <w:jc w:val="start"/>
              <w:rPr>
                <w:rFonts w:cs=""/>
                <w:kern w:val="0"/>
                <w:szCs w:val="22"/>
                <w:lang w:val="en-US" w:eastAsia="en-US" w:bidi="ar-SA"/>
              </w:rPr>
            </w:pPr>
            <w:r>
              <w:rPr>
                <w:rFonts w:eastAsia="Arial Unicode MS" w:cs="Arial"/>
                <w:b/>
                <w:color w:val="18324A"/>
                <w:kern w:val="0"/>
                <w:sz w:val="18"/>
                <w:szCs w:val="22"/>
                <w:lang w:val="en-US" w:eastAsia="en-US" w:bidi="ar-SA"/>
              </w:rPr>
              <w:t>LORAWAN</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Concentrator</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Semtech SX1302</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Protocol</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Standard LoRaWAN; compliant with LoRa Alliance™ LoRaWAN Specification v1.0.4 or a later version</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Operating bands</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AS923: 920–928 MHz; regional configurations also include CN470, EU433, EU868, US915 (902–928 MHz) and AU915</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Channels/frequency points</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At least 8 uplink channels; 8 frequency points at BW = 125 kHz</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Demodulators</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16, processing up to 16 packets simultaneously</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Demodulator composition</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8 × SF5–SF12 LoRa®demodulators; 8 × SF5–SF10 LoRa®demodulators</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Channel capacity</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65 logical channels; each SF, bandwidth and frequency-point combination defines a channel</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Communication rate</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292 bps to 15.625 kbps</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Spreading factors</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SF5 to SF12</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Single-channel bandwidth</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125 kHz or higher</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Operating mode</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Half-duplex</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Transmit power</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Suffix </w:t>
            </w:r>
            <w:r>
              <w:rPr>
                <w:rFonts w:eastAsia="Arial Unicode MS" w:cs="Menlo" w:ascii="Menlo" w:hAnsi="Menlo"/>
                <w:color w:val="18324A"/>
                <w:kern w:val="0"/>
                <w:sz w:val="17"/>
                <w:szCs w:val="22"/>
                <w:lang w:val="en-US" w:eastAsia="en-US" w:bidi="ar-SA"/>
              </w:rPr>
              <w:t>-1</w:t>
            </w:r>
            <w:r>
              <w:rPr>
                <w:rFonts w:eastAsia="Arial Unicode MS" w:cs="Arial"/>
                <w:color w:val="243442"/>
                <w:kern w:val="0"/>
                <w:sz w:val="18"/>
                <w:szCs w:val="22"/>
                <w:lang w:val="en-US" w:eastAsia="en-US" w:bidi="ar-SA"/>
              </w:rPr>
              <w:t xml:space="preserve">: 27 dBm maximum; suffix </w:t>
            </w:r>
            <w:r>
              <w:rPr>
                <w:rFonts w:eastAsia="Arial Unicode MS" w:cs="Menlo" w:ascii="Menlo" w:hAnsi="Menlo"/>
                <w:color w:val="18324A"/>
                <w:kern w:val="0"/>
                <w:sz w:val="17"/>
                <w:szCs w:val="22"/>
                <w:lang w:val="en-US" w:eastAsia="en-US" w:bidi="ar-SA"/>
              </w:rPr>
              <w:t>-2</w:t>
            </w:r>
            <w:r>
              <w:rPr>
                <w:rFonts w:eastAsia="Arial Unicode MS" w:cs="Arial"/>
                <w:color w:val="243442"/>
                <w:kern w:val="0"/>
                <w:sz w:val="18"/>
                <w:szCs w:val="22"/>
                <w:lang w:val="en-US" w:eastAsia="en-US" w:bidi="ar-SA"/>
              </w:rPr>
              <w:t>: 22 dBm maximum; maximum-power tolerance: ±2 dBm</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Receiver sensitivity</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-141 dBm at SF12/BW 125 kHz</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Antenna</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Omnidirectional LoRa antenna</w:t>
            </w:r>
          </w:p>
        </w:tc>
      </w:tr>
    </w:tbl>
    <w:p>
      <w:pPr>
        <w:pStyle w:val="Normal"/>
        <w:spacing w:before="0" w:after="40"/>
        <w:rPr/>
      </w:pPr>
      <w:r>
        <w:rPr/>
      </w:r>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000"/>
        <w:gridCol w:w="2250"/>
        <w:gridCol w:w="5110"/>
      </w:tblGrid>
      <w:tr>
        <w:trPr>
          <w:tblHeader w:val="true"/>
          <w:cantSplit/>
        </w:trPr>
        <w:tc>
          <w:tcPr>
            <w:tcW w:w="200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Category</w:t>
            </w:r>
          </w:p>
        </w:tc>
        <w:tc>
          <w:tcPr>
            <w:tcW w:w="225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Parameter</w:t>
            </w:r>
          </w:p>
        </w:tc>
        <w:tc>
          <w:tcPr>
            <w:tcW w:w="511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GD71 Specification</w:t>
            </w:r>
          </w:p>
        </w:tc>
      </w:tr>
      <w:tr>
        <w:trPr>
          <w:cantSplit/>
        </w:trPr>
        <w:tc>
          <w:tcPr>
            <w:tcW w:w="9360" w:type="dxa"/>
            <w:gridSpan w:val="3"/>
            <w:tcBorders/>
            <w:shd w:fill="E8F6F4" w:val="clear"/>
            <w:vAlign w:val="center"/>
          </w:tcPr>
          <w:p>
            <w:pPr>
              <w:pStyle w:val="Normal"/>
              <w:widowControl/>
              <w:spacing w:before="0" w:after="0"/>
              <w:jc w:val="start"/>
              <w:rPr>
                <w:rFonts w:cs=""/>
                <w:kern w:val="0"/>
                <w:szCs w:val="22"/>
                <w:lang w:val="en-US" w:eastAsia="en-US" w:bidi="ar-SA"/>
              </w:rPr>
            </w:pPr>
            <w:r>
              <w:rPr>
                <w:rFonts w:eastAsia="Arial Unicode MS" w:cs="Arial"/>
                <w:b/>
                <w:color w:val="18324A"/>
                <w:kern w:val="0"/>
                <w:sz w:val="18"/>
                <w:szCs w:val="22"/>
                <w:lang w:val="en-US" w:eastAsia="en-US" w:bidi="ar-SA"/>
              </w:rPr>
              <w:t>WI-FI AND BLUETOOTH</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Wi-Fi module</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Industrial-grade Wi-Fi module</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Operating modes</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Access-point mode and client mode</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Bands/standards</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2.4 GHz or 5 GHz; IEEE 802.11a/b/g/n</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Download/upload</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Download ≥ 100 Mbps; upload ≥ 50 Mbps</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Security</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WPA2, AES and TLS</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Bluetooth</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Bluetooth Low Energy (BLE)</w:t>
            </w:r>
          </w:p>
        </w:tc>
      </w:tr>
    </w:tbl>
    <w:p>
      <w:pPr>
        <w:pStyle w:val="Normal"/>
        <w:spacing w:before="0" w:after="40"/>
        <w:rPr/>
      </w:pPr>
      <w:r>
        <w:rPr/>
      </w:r>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000"/>
        <w:gridCol w:w="2250"/>
        <w:gridCol w:w="5110"/>
      </w:tblGrid>
      <w:tr>
        <w:trPr>
          <w:tblHeader w:val="true"/>
          <w:cantSplit/>
        </w:trPr>
        <w:tc>
          <w:tcPr>
            <w:tcW w:w="200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Category</w:t>
            </w:r>
          </w:p>
        </w:tc>
        <w:tc>
          <w:tcPr>
            <w:tcW w:w="225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Parameter</w:t>
            </w:r>
          </w:p>
        </w:tc>
        <w:tc>
          <w:tcPr>
            <w:tcW w:w="511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GD71 Specification</w:t>
            </w:r>
          </w:p>
        </w:tc>
      </w:tr>
      <w:tr>
        <w:trPr>
          <w:cantSplit/>
        </w:trPr>
        <w:tc>
          <w:tcPr>
            <w:tcW w:w="9360" w:type="dxa"/>
            <w:gridSpan w:val="3"/>
            <w:tcBorders/>
            <w:shd w:fill="E8F6F4" w:val="clear"/>
            <w:vAlign w:val="center"/>
          </w:tcPr>
          <w:p>
            <w:pPr>
              <w:pStyle w:val="Normal"/>
              <w:widowControl/>
              <w:spacing w:before="0" w:after="0"/>
              <w:jc w:val="start"/>
              <w:rPr>
                <w:rFonts w:cs=""/>
                <w:kern w:val="0"/>
                <w:szCs w:val="22"/>
                <w:lang w:val="en-US" w:eastAsia="en-US" w:bidi="ar-SA"/>
              </w:rPr>
            </w:pPr>
            <w:r>
              <w:rPr>
                <w:rFonts w:eastAsia="Arial Unicode MS" w:cs="Arial"/>
                <w:b/>
                <w:color w:val="18324A"/>
                <w:kern w:val="0"/>
                <w:sz w:val="18"/>
                <w:szCs w:val="22"/>
                <w:lang w:val="en-US" w:eastAsia="en-US" w:bidi="ar-SA"/>
              </w:rPr>
              <w:t>NETWORK AND TRANSPORT</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Ethernet</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1000M/100M; DHCP and static IP configuration</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Cellular uplink</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CAT1 4G/LTE module by default; LTE-FDD B1/3/5/8 and LTE-TDD B34/38/39/40/41</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Data forwarding</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MQTT, MQTTS, HTTP and HTTPS</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Network services</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NTP, prevailing-version SNMP, NAT and ICMP diagnostics</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Network redundancy</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Dual-gateway architecture for network redundancy</w:t>
            </w:r>
          </w:p>
        </w:tc>
      </w:tr>
    </w:tbl>
    <w:p>
      <w:pPr>
        <w:pStyle w:val="Normal"/>
        <w:spacing w:before="0" w:after="40"/>
        <w:rPr/>
      </w:pPr>
      <w:r>
        <w:rPr/>
      </w:r>
    </w:p>
    <w:p>
      <w:pPr>
        <w:pStyle w:val="Normal"/>
        <w:rPr/>
      </w:pPr>
      <w:r>
        <w:rPr/>
      </w:r>
      <w:r>
        <w:br w:type="page"/>
      </w:r>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000"/>
        <w:gridCol w:w="2250"/>
        <w:gridCol w:w="5110"/>
      </w:tblGrid>
      <w:tr>
        <w:trPr>
          <w:tblHeader w:val="true"/>
          <w:cantSplit/>
        </w:trPr>
        <w:tc>
          <w:tcPr>
            <w:tcW w:w="2000" w:type="dxa"/>
            <w:tcBorders/>
            <w:shd w:fill="18324A" w:val="clear"/>
            <w:vAlign w:val="center"/>
          </w:tcPr>
          <w:p>
            <w:pPr>
              <w:pStyle w:val="Normal"/>
              <w:pageBreakBefore/>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Category</w:t>
            </w:r>
          </w:p>
        </w:tc>
        <w:tc>
          <w:tcPr>
            <w:tcW w:w="225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Parameter</w:t>
            </w:r>
          </w:p>
        </w:tc>
        <w:tc>
          <w:tcPr>
            <w:tcW w:w="511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GD71 Specification</w:t>
            </w:r>
          </w:p>
        </w:tc>
      </w:tr>
      <w:tr>
        <w:trPr>
          <w:cantSplit/>
        </w:trPr>
        <w:tc>
          <w:tcPr>
            <w:tcW w:w="9360" w:type="dxa"/>
            <w:gridSpan w:val="3"/>
            <w:tcBorders/>
            <w:shd w:fill="E8F6F4" w:val="clear"/>
            <w:vAlign w:val="center"/>
          </w:tcPr>
          <w:p>
            <w:pPr>
              <w:pStyle w:val="Normal"/>
              <w:widowControl/>
              <w:spacing w:before="0" w:after="0"/>
              <w:jc w:val="start"/>
              <w:rPr>
                <w:rFonts w:cs=""/>
                <w:kern w:val="0"/>
                <w:szCs w:val="22"/>
                <w:lang w:val="en-US" w:eastAsia="en-US" w:bidi="ar-SA"/>
              </w:rPr>
            </w:pPr>
            <w:r>
              <w:rPr>
                <w:rFonts w:eastAsia="Arial Unicode MS" w:cs="Arial"/>
                <w:b/>
                <w:color w:val="18324A"/>
                <w:kern w:val="0"/>
                <w:sz w:val="18"/>
                <w:szCs w:val="22"/>
                <w:lang w:val="en-US" w:eastAsia="en-US" w:bidi="ar-SA"/>
              </w:rPr>
              <w:t>SECURITY AND AUTHENTICATION</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Device identity</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IMEI or device-feature-string authentication</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Access protection</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Firewall and access control list (ACL)</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Transport security</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Prevailing-version TLS; administrators can disable unsafe SSH/TLS cipher suites</w:t>
            </w:r>
          </w:p>
        </w:tc>
      </w:tr>
    </w:tbl>
    <w:p>
      <w:pPr>
        <w:pStyle w:val="Normal"/>
        <w:spacing w:before="0" w:after="40"/>
        <w:rPr/>
      </w:pPr>
      <w:r>
        <w:rPr/>
      </w:r>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000"/>
        <w:gridCol w:w="2250"/>
        <w:gridCol w:w="5110"/>
      </w:tblGrid>
      <w:tr>
        <w:trPr>
          <w:tblHeader w:val="true"/>
          <w:cantSplit/>
        </w:trPr>
        <w:tc>
          <w:tcPr>
            <w:tcW w:w="200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Category</w:t>
            </w:r>
          </w:p>
        </w:tc>
        <w:tc>
          <w:tcPr>
            <w:tcW w:w="225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Parameter</w:t>
            </w:r>
          </w:p>
        </w:tc>
        <w:tc>
          <w:tcPr>
            <w:tcW w:w="511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GD71 Specification</w:t>
            </w:r>
          </w:p>
        </w:tc>
      </w:tr>
      <w:tr>
        <w:trPr>
          <w:cantSplit/>
        </w:trPr>
        <w:tc>
          <w:tcPr>
            <w:tcW w:w="9360" w:type="dxa"/>
            <w:gridSpan w:val="3"/>
            <w:tcBorders/>
            <w:shd w:fill="E8F6F4" w:val="clear"/>
            <w:vAlign w:val="center"/>
          </w:tcPr>
          <w:p>
            <w:pPr>
              <w:pStyle w:val="Normal"/>
              <w:widowControl/>
              <w:spacing w:before="0" w:after="0"/>
              <w:jc w:val="start"/>
              <w:rPr>
                <w:rFonts w:cs=""/>
                <w:kern w:val="0"/>
                <w:szCs w:val="22"/>
                <w:lang w:val="en-US" w:eastAsia="en-US" w:bidi="ar-SA"/>
              </w:rPr>
            </w:pPr>
            <w:r>
              <w:rPr>
                <w:rFonts w:eastAsia="Arial Unicode MS" w:cs="Arial"/>
                <w:b/>
                <w:color w:val="18324A"/>
                <w:kern w:val="0"/>
                <w:sz w:val="18"/>
                <w:szCs w:val="22"/>
                <w:lang w:val="en-US" w:eastAsia="en-US" w:bidi="ar-SA"/>
              </w:rPr>
              <w:t>PORTS AND TIMING</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Configuration ports</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USB Type-C, Ethernet and Wi-Fi</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SIM slot</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One external nano-SIM slot supporting LTE/5G SIM cards; cellular standards are determined by the configured module</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Positioning/timing</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GPS and BeiDou (BDS) positioning; NTP synchronization</w:t>
            </w:r>
          </w:p>
        </w:tc>
      </w:tr>
    </w:tbl>
    <w:p>
      <w:pPr>
        <w:pStyle w:val="Normal"/>
        <w:spacing w:before="0" w:after="40"/>
        <w:rPr/>
      </w:pPr>
      <w:r>
        <w:rPr/>
      </w:r>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000"/>
        <w:gridCol w:w="2250"/>
        <w:gridCol w:w="5110"/>
      </w:tblGrid>
      <w:tr>
        <w:trPr>
          <w:tblHeader w:val="true"/>
          <w:cantSplit/>
        </w:trPr>
        <w:tc>
          <w:tcPr>
            <w:tcW w:w="200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Category</w:t>
            </w:r>
          </w:p>
        </w:tc>
        <w:tc>
          <w:tcPr>
            <w:tcW w:w="225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Parameter</w:t>
            </w:r>
          </w:p>
        </w:tc>
        <w:tc>
          <w:tcPr>
            <w:tcW w:w="511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GD71 Specification</w:t>
            </w:r>
          </w:p>
        </w:tc>
      </w:tr>
      <w:tr>
        <w:trPr>
          <w:cantSplit/>
        </w:trPr>
        <w:tc>
          <w:tcPr>
            <w:tcW w:w="9360" w:type="dxa"/>
            <w:gridSpan w:val="3"/>
            <w:tcBorders/>
            <w:shd w:fill="E8F6F4" w:val="clear"/>
            <w:vAlign w:val="center"/>
          </w:tcPr>
          <w:p>
            <w:pPr>
              <w:pStyle w:val="Normal"/>
              <w:widowControl/>
              <w:spacing w:before="0" w:after="0"/>
              <w:jc w:val="start"/>
              <w:rPr>
                <w:rFonts w:cs=""/>
                <w:kern w:val="0"/>
                <w:szCs w:val="22"/>
                <w:lang w:val="en-US" w:eastAsia="en-US" w:bidi="ar-SA"/>
              </w:rPr>
            </w:pPr>
            <w:r>
              <w:rPr>
                <w:rFonts w:eastAsia="Arial Unicode MS" w:cs="Arial"/>
                <w:b/>
                <w:color w:val="18324A"/>
                <w:kern w:val="0"/>
                <w:sz w:val="18"/>
                <w:szCs w:val="22"/>
                <w:lang w:val="en-US" w:eastAsia="en-US" w:bidi="ar-SA"/>
              </w:rPr>
              <w:t>POWER</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PoE power</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One PoE or PoE+ Ethernet port; nominal 48 V PoE</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USB power</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USB Type-C, 5 V</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Power consumption</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 </w:t>
            </w:r>
            <w:r>
              <w:rPr>
                <w:rFonts w:eastAsia="Arial Unicode MS" w:cs="Arial"/>
                <w:color w:val="243442"/>
                <w:kern w:val="0"/>
                <w:sz w:val="18"/>
                <w:szCs w:val="22"/>
                <w:lang w:val="en-US" w:eastAsia="en-US" w:bidi="ar-SA"/>
              </w:rPr>
              <w:t>5 W in a typical configuration</w:t>
            </w:r>
          </w:p>
        </w:tc>
      </w:tr>
    </w:tbl>
    <w:p>
      <w:pPr>
        <w:pStyle w:val="Normal"/>
        <w:spacing w:before="0" w:after="40"/>
        <w:rPr/>
      </w:pPr>
      <w:r>
        <w:rPr/>
      </w:r>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000"/>
        <w:gridCol w:w="2250"/>
        <w:gridCol w:w="5110"/>
      </w:tblGrid>
      <w:tr>
        <w:trPr>
          <w:tblHeader w:val="true"/>
          <w:cantSplit/>
        </w:trPr>
        <w:tc>
          <w:tcPr>
            <w:tcW w:w="200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Category</w:t>
            </w:r>
          </w:p>
        </w:tc>
        <w:tc>
          <w:tcPr>
            <w:tcW w:w="225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Parameter</w:t>
            </w:r>
          </w:p>
        </w:tc>
        <w:tc>
          <w:tcPr>
            <w:tcW w:w="511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GD71 Specification</w:t>
            </w:r>
          </w:p>
        </w:tc>
      </w:tr>
      <w:tr>
        <w:trPr>
          <w:cantSplit/>
        </w:trPr>
        <w:tc>
          <w:tcPr>
            <w:tcW w:w="9360" w:type="dxa"/>
            <w:gridSpan w:val="3"/>
            <w:tcBorders/>
            <w:shd w:fill="E8F6F4" w:val="clear"/>
            <w:vAlign w:val="center"/>
          </w:tcPr>
          <w:p>
            <w:pPr>
              <w:pStyle w:val="Normal"/>
              <w:widowControl/>
              <w:spacing w:before="0" w:after="0"/>
              <w:jc w:val="start"/>
              <w:rPr>
                <w:rFonts w:cs=""/>
                <w:kern w:val="0"/>
                <w:szCs w:val="22"/>
                <w:lang w:val="en-US" w:eastAsia="en-US" w:bidi="ar-SA"/>
              </w:rPr>
            </w:pPr>
            <w:r>
              <w:rPr>
                <w:rFonts w:eastAsia="Arial Unicode MS" w:cs="Arial"/>
                <w:b/>
                <w:color w:val="18324A"/>
                <w:kern w:val="0"/>
                <w:sz w:val="18"/>
                <w:szCs w:val="22"/>
                <w:lang w:val="en-US" w:eastAsia="en-US" w:bidi="ar-SA"/>
              </w:rPr>
              <w:t>ENVIRONMENT AND ENCLOSURE</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Operating temperature</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-20°C to 65°C</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Operating humidity</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0% to 95% RH, non-condensing</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Ingress protection</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IP53</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Radio-equipment requirement</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Compliant with HKCA 1078 requirements</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Weight</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0.3 kg</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Dimensions</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151 × 125 × 30 mm</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Installation</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Wall mounting or freestanding placement</w:t>
            </w:r>
          </w:p>
        </w:tc>
      </w:tr>
    </w:tbl>
    <w:p>
      <w:pPr>
        <w:pStyle w:val="Normal"/>
        <w:spacing w:before="0" w:after="40"/>
        <w:rPr/>
      </w:pPr>
      <w:r>
        <w:rPr/>
      </w:r>
    </w:p>
    <w:p>
      <w:pPr>
        <w:pStyle w:val="Normal"/>
        <w:rPr/>
      </w:pPr>
      <w:r>
        <w:rPr>
          <w:rFonts w:eastAsia="Arial Unicode MS" w:cs="Arial"/>
          <w:color w:val="243442"/>
          <w:sz w:val="22"/>
        </w:rPr>
        <w:t>Cellular deployment note: if local operator bands are outside the default module range, contact ManThink for a suitable cellular module.</w:t>
      </w:r>
    </w:p>
    <w:p>
      <w:pPr>
        <w:pStyle w:val="Heading1"/>
        <w:rPr/>
      </w:pPr>
      <w:bookmarkStart w:id="3" w:name="manual_heading_004"/>
      <w:r>
        <w:rPr>
          <w:rFonts w:eastAsia="Arial Unicode MS" w:cs="Arial" w:ascii="Arial" w:hAnsi="Arial"/>
          <w:color w:val="1E6F9F"/>
          <w:sz w:val="32"/>
        </w:rPr>
        <w:t>4. Accessories</w:t>
      </w:r>
      <w:bookmarkEnd w:id="3"/>
    </w:p>
    <w:p>
      <w:pPr>
        <w:pStyle w:val="Normal"/>
        <w:rPr/>
      </w:pPr>
      <w:r>
        <w:rPr>
          <w:rFonts w:eastAsia="Arial Unicode MS" w:cs="Arial"/>
          <w:color w:val="243442"/>
          <w:sz w:val="22"/>
        </w:rPr>
        <w:t>The product package includes the GD71 gateway, PoE power components, power adapter, Type-C cable, mounting backplate, LoRa antenna, LTE antenna, GPS antenna, Wi-Fi antenna, network cable and fasteners. Cellular-enabled versions include an LTE/5G SIM card.</w:t>
      </w:r>
    </w:p>
    <w:p>
      <w:pPr>
        <w:pStyle w:val="Heading1"/>
        <w:rPr/>
      </w:pPr>
      <w:bookmarkStart w:id="4" w:name="manual_heading_005"/>
      <w:r>
        <w:rPr>
          <w:rFonts w:eastAsia="Arial Unicode MS" w:cs="Arial" w:ascii="Arial" w:hAnsi="Arial"/>
          <w:color w:val="1E6F9F"/>
          <w:sz w:val="32"/>
        </w:rPr>
        <w:t>5. Product Dimensions</w:t>
      </w:r>
      <w:bookmarkEnd w:id="4"/>
    </w:p>
    <w:p>
      <w:pPr>
        <w:pStyle w:val="Normal"/>
        <w:rPr/>
      </w:pPr>
      <w:r>
        <w:rPr>
          <w:rFonts w:eastAsia="Arial Unicode MS" w:cs="Arial"/>
          <w:color w:val="243442"/>
          <w:sz w:val="22"/>
        </w:rPr>
        <w:t>The product outline and installation dimensions are shown below.</w:t>
      </w:r>
    </w:p>
    <w:p>
      <w:pPr>
        <w:pStyle w:val="Normal"/>
        <w:keepNext w:val="true"/>
        <w:keepLines/>
        <w:spacing w:before="80" w:after="40"/>
        <w:jc w:val="center"/>
        <w:rPr/>
      </w:pPr>
      <w:r>
        <w:rPr/>
        <w:drawing>
          <wp:inline distT="0" distB="0" distL="0" distR="0">
            <wp:extent cx="3836670" cy="5303520"/>
            <wp:effectExtent l="0" t="0" r="0" b="0"/>
            <wp:docPr id="2" name="Picture 2" descr="GD71 product dimensions" title="GD71 product dim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D71 product dimensions" title="GD71 product dimensions"/>
                    <pic:cNvPicPr>
                      <a:picLocks noChangeAspect="1" noChangeArrowheads="1"/>
                    </pic:cNvPicPr>
                  </pic:nvPicPr>
                  <pic:blipFill>
                    <a:blip r:embed="rId3"/>
                    <a:stretch>
                      <a:fillRect/>
                    </a:stretch>
                  </pic:blipFill>
                  <pic:spPr bwMode="auto">
                    <a:xfrm>
                      <a:off x="0" y="0"/>
                      <a:ext cx="3836670" cy="5303520"/>
                    </a:xfrm>
                    <a:prstGeom prst="rect">
                      <a:avLst/>
                    </a:prstGeom>
                    <a:noFill/>
                  </pic:spPr>
                </pic:pic>
              </a:graphicData>
            </a:graphic>
          </wp:inline>
        </w:drawing>
      </w:r>
    </w:p>
    <w:p>
      <w:pPr>
        <w:pStyle w:val="FigureCaption"/>
        <w:rPr/>
      </w:pPr>
      <w:r>
        <w:rPr/>
        <w:t>Figure  GD71 product dimensions</w:t>
      </w:r>
    </w:p>
    <w:p>
      <w:pPr>
        <w:pStyle w:val="Heading1"/>
        <w:rPr/>
      </w:pPr>
      <w:bookmarkStart w:id="5" w:name="manual_heading_006"/>
      <w:r>
        <w:rPr>
          <w:rFonts w:eastAsia="Arial Unicode MS" w:cs="Arial" w:ascii="Arial" w:hAnsi="Arial"/>
          <w:color w:val="1E6F9F"/>
          <w:sz w:val="32"/>
        </w:rPr>
        <w:t>6. Interface Description</w:t>
      </w:r>
      <w:bookmarkEnd w:id="5"/>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700"/>
        <w:gridCol w:w="6660"/>
      </w:tblGrid>
      <w:tr>
        <w:trPr>
          <w:tblHeader w:val="true"/>
          <w:cantSplit/>
        </w:trPr>
        <w:tc>
          <w:tcPr>
            <w:tcW w:w="270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Interface</w:t>
            </w:r>
          </w:p>
        </w:tc>
        <w:tc>
          <w:tcPr>
            <w:tcW w:w="666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Description</w:t>
            </w:r>
          </w:p>
        </w:tc>
      </w:tr>
      <w:tr>
        <w:trPr>
          <w:cantSplit/>
        </w:trPr>
        <w:tc>
          <w:tcPr>
            <w:tcW w:w="270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WiFi</w:t>
            </w:r>
          </w:p>
        </w:tc>
        <w:tc>
          <w:tcPr>
            <w:tcW w:w="666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Wi-Fi antenna interface</w:t>
            </w:r>
          </w:p>
        </w:tc>
      </w:tr>
      <w:tr>
        <w:trPr>
          <w:cantSplit/>
        </w:trPr>
        <w:tc>
          <w:tcPr>
            <w:tcW w:w="27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SD</w:t>
            </w:r>
          </w:p>
        </w:tc>
        <w:tc>
          <w:tcPr>
            <w:tcW w:w="666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Memory-card slot</w:t>
            </w:r>
          </w:p>
        </w:tc>
      </w:tr>
      <w:tr>
        <w:trPr>
          <w:cantSplit/>
        </w:trPr>
        <w:tc>
          <w:tcPr>
            <w:tcW w:w="270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LoRa</w:t>
            </w:r>
          </w:p>
        </w:tc>
        <w:tc>
          <w:tcPr>
            <w:tcW w:w="666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LoRa antenna interface</w:t>
            </w:r>
          </w:p>
        </w:tc>
      </w:tr>
      <w:tr>
        <w:trPr>
          <w:cantSplit/>
        </w:trPr>
        <w:tc>
          <w:tcPr>
            <w:tcW w:w="27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GPS</w:t>
            </w:r>
          </w:p>
        </w:tc>
        <w:tc>
          <w:tcPr>
            <w:tcW w:w="666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GPS/BeiDou antenna interface</w:t>
            </w:r>
          </w:p>
        </w:tc>
      </w:tr>
      <w:tr>
        <w:trPr>
          <w:cantSplit/>
        </w:trPr>
        <w:tc>
          <w:tcPr>
            <w:tcW w:w="270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PWR</w:t>
            </w:r>
          </w:p>
        </w:tc>
        <w:tc>
          <w:tcPr>
            <w:tcW w:w="666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Reset button</w:t>
            </w:r>
          </w:p>
        </w:tc>
      </w:tr>
      <w:tr>
        <w:trPr>
          <w:cantSplit/>
        </w:trPr>
        <w:tc>
          <w:tcPr>
            <w:tcW w:w="27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SIM</w:t>
            </w:r>
          </w:p>
        </w:tc>
        <w:tc>
          <w:tcPr>
            <w:tcW w:w="666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nano-SIM slot</w:t>
            </w:r>
          </w:p>
        </w:tc>
      </w:tr>
      <w:tr>
        <w:trPr>
          <w:cantSplit/>
        </w:trPr>
        <w:tc>
          <w:tcPr>
            <w:tcW w:w="270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RJ45</w:t>
            </w:r>
          </w:p>
        </w:tc>
        <w:tc>
          <w:tcPr>
            <w:tcW w:w="666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Ethernet and PoE/PoE+ power interface</w:t>
            </w:r>
          </w:p>
        </w:tc>
      </w:tr>
      <w:tr>
        <w:trPr>
          <w:cantSplit/>
        </w:trPr>
        <w:tc>
          <w:tcPr>
            <w:tcW w:w="27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USB</w:t>
            </w:r>
          </w:p>
        </w:tc>
        <w:tc>
          <w:tcPr>
            <w:tcW w:w="666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USB Type-C power, configuration and debugging interface</w:t>
            </w:r>
          </w:p>
        </w:tc>
      </w:tr>
      <w:tr>
        <w:trPr>
          <w:cantSplit/>
        </w:trPr>
        <w:tc>
          <w:tcPr>
            <w:tcW w:w="270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4G</w:t>
            </w:r>
          </w:p>
        </w:tc>
        <w:tc>
          <w:tcPr>
            <w:tcW w:w="666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LTE antenna interface</w:t>
            </w:r>
          </w:p>
        </w:tc>
      </w:tr>
    </w:tbl>
    <w:p>
      <w:pPr>
        <w:pStyle w:val="Normal"/>
        <w:spacing w:before="0" w:after="40"/>
        <w:rPr/>
      </w:pPr>
      <w:r>
        <w:rPr/>
      </w:r>
    </w:p>
    <w:p>
      <w:pPr>
        <w:pStyle w:val="Heading1"/>
        <w:rPr/>
      </w:pPr>
      <w:bookmarkStart w:id="6" w:name="manual_heading_007"/>
      <w:r>
        <w:rPr>
          <w:rFonts w:eastAsia="Arial Unicode MS" w:cs="Arial" w:ascii="Arial" w:hAnsi="Arial"/>
          <w:color w:val="1E6F9F"/>
          <w:sz w:val="32"/>
        </w:rPr>
        <w:t>7. Indicator Description</w:t>
      </w:r>
      <w:bookmarkEnd w:id="6"/>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000"/>
        <w:gridCol w:w="2250"/>
        <w:gridCol w:w="5110"/>
      </w:tblGrid>
      <w:tr>
        <w:trPr>
          <w:tblHeader w:val="true"/>
          <w:cantSplit/>
        </w:trPr>
        <w:tc>
          <w:tcPr>
            <w:tcW w:w="200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Indicator</w:t>
            </w:r>
          </w:p>
        </w:tc>
        <w:tc>
          <w:tcPr>
            <w:tcW w:w="225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Color/network</w:t>
            </w:r>
          </w:p>
        </w:tc>
        <w:tc>
          <w:tcPr>
            <w:tcW w:w="511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States and meanings</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Run indicator</w:t>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b/>
                <w:color w:val="243442"/>
                <w:kern w:val="0"/>
                <w:sz w:val="18"/>
                <w:szCs w:val="22"/>
                <w:lang w:val="en-US" w:eastAsia="en-US" w:bidi="ar-SA"/>
              </w:rPr>
              <w:t>Steady:</w:t>
            </w:r>
            <w:r>
              <w:rPr>
                <w:rFonts w:eastAsia="Arial Unicode MS" w:cs="Arial"/>
                <w:color w:val="243442"/>
                <w:kern w:val="0"/>
                <w:sz w:val="18"/>
                <w:szCs w:val="22"/>
                <w:lang w:val="en-US" w:eastAsia="en-US" w:bidi="ar-SA"/>
              </w:rPr>
              <w:t xml:space="preserve"> System starting.</w:t>
            </w:r>
            <w:r>
              <w:rPr>
                <w:rFonts w:cs=""/>
                <w:kern w:val="0"/>
                <w:szCs w:val="22"/>
                <w:lang w:val="en-US" w:eastAsia="en-US" w:bidi="ar-SA"/>
              </w:rPr>
              <w:br/>
            </w:r>
            <w:r>
              <w:rPr>
                <w:rFonts w:eastAsia="Arial Unicode MS" w:cs="Arial"/>
                <w:b/>
                <w:color w:val="243442"/>
                <w:kern w:val="0"/>
                <w:sz w:val="18"/>
                <w:szCs w:val="22"/>
                <w:lang w:val="en-US" w:eastAsia="en-US" w:bidi="ar-SA"/>
              </w:rPr>
              <w:t>Off:</w:t>
            </w:r>
            <w:r>
              <w:rPr>
                <w:rFonts w:eastAsia="Arial Unicode MS" w:cs="Arial"/>
                <w:color w:val="243442"/>
                <w:kern w:val="0"/>
                <w:sz w:val="18"/>
                <w:szCs w:val="22"/>
                <w:lang w:val="en-US" w:eastAsia="en-US" w:bidi="ar-SA"/>
              </w:rPr>
              <w:t xml:space="preserve"> Base startup complete; applications are starting.</w:t>
            </w:r>
            <w:r>
              <w:rPr>
                <w:rFonts w:cs=""/>
                <w:kern w:val="0"/>
                <w:szCs w:val="22"/>
                <w:lang w:val="en-US" w:eastAsia="en-US" w:bidi="ar-SA"/>
              </w:rPr>
              <w:br/>
            </w:r>
            <w:r>
              <w:rPr>
                <w:rFonts w:eastAsia="Arial Unicode MS" w:cs="Arial"/>
                <w:b/>
                <w:color w:val="243442"/>
                <w:kern w:val="0"/>
                <w:sz w:val="18"/>
                <w:szCs w:val="22"/>
                <w:lang w:val="en-US" w:eastAsia="en-US" w:bidi="ar-SA"/>
              </w:rPr>
              <w:t>1 Hz flashing:</w:t>
            </w:r>
            <w:r>
              <w:rPr>
                <w:rFonts w:eastAsia="Arial Unicode MS" w:cs="Arial"/>
                <w:color w:val="243442"/>
                <w:kern w:val="0"/>
                <w:sz w:val="18"/>
                <w:szCs w:val="22"/>
                <w:lang w:val="en-US" w:eastAsia="en-US" w:bidi="ar-SA"/>
              </w:rPr>
              <w:t xml:space="preserve"> Normal operation.</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Network indicator</w:t>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Green/wired</w:t>
            </w:r>
            <w:r>
              <w:rPr>
                <w:rFonts w:cs=""/>
                <w:kern w:val="0"/>
                <w:szCs w:val="22"/>
                <w:lang w:val="en-US" w:eastAsia="en-US" w:bidi="ar-SA"/>
              </w:rPr>
              <w:br/>
            </w:r>
            <w:r>
              <w:rPr>
                <w:rFonts w:eastAsia="Arial Unicode MS" w:cs="Arial"/>
                <w:color w:val="243442"/>
                <w:kern w:val="0"/>
                <w:sz w:val="18"/>
                <w:szCs w:val="22"/>
                <w:lang w:val="en-US" w:eastAsia="en-US" w:bidi="ar-SA"/>
              </w:rPr>
              <w:t>Blue/cellular</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b/>
                <w:color w:val="243442"/>
                <w:kern w:val="0"/>
                <w:sz w:val="18"/>
                <w:szCs w:val="22"/>
                <w:lang w:val="en-US" w:eastAsia="en-US" w:bidi="ar-SA"/>
              </w:rPr>
              <w:t>Green, 1 Hz:</w:t>
            </w:r>
            <w:r>
              <w:rPr>
                <w:rFonts w:eastAsia="Arial Unicode MS" w:cs="Arial"/>
                <w:color w:val="243442"/>
                <w:kern w:val="0"/>
                <w:sz w:val="18"/>
                <w:szCs w:val="22"/>
                <w:lang w:val="en-US" w:eastAsia="en-US" w:bidi="ar-SA"/>
              </w:rPr>
              <w:t xml:space="preserve"> Wired network normal.</w:t>
            </w:r>
            <w:r>
              <w:rPr>
                <w:rFonts w:cs=""/>
                <w:kern w:val="0"/>
                <w:szCs w:val="22"/>
                <w:lang w:val="en-US" w:eastAsia="en-US" w:bidi="ar-SA"/>
              </w:rPr>
              <w:br/>
            </w:r>
            <w:r>
              <w:rPr>
                <w:rFonts w:eastAsia="Arial Unicode MS" w:cs="Arial"/>
                <w:b/>
                <w:color w:val="243442"/>
                <w:kern w:val="0"/>
                <w:sz w:val="18"/>
                <w:szCs w:val="22"/>
                <w:lang w:val="en-US" w:eastAsia="en-US" w:bidi="ar-SA"/>
              </w:rPr>
              <w:t>Green, every 500 ms:</w:t>
            </w:r>
            <w:r>
              <w:rPr>
                <w:rFonts w:eastAsia="Arial Unicode MS" w:cs="Arial"/>
                <w:color w:val="243442"/>
                <w:kern w:val="0"/>
                <w:sz w:val="18"/>
                <w:szCs w:val="22"/>
                <w:lang w:val="en-US" w:eastAsia="en-US" w:bidi="ar-SA"/>
              </w:rPr>
              <w:t xml:space="preserve"> Wired network abnormal.</w:t>
            </w:r>
            <w:r>
              <w:rPr>
                <w:rFonts w:cs=""/>
                <w:kern w:val="0"/>
                <w:szCs w:val="22"/>
                <w:lang w:val="en-US" w:eastAsia="en-US" w:bidi="ar-SA"/>
              </w:rPr>
              <w:br/>
            </w:r>
            <w:r>
              <w:rPr>
                <w:rFonts w:eastAsia="Arial Unicode MS" w:cs="Arial"/>
                <w:b/>
                <w:color w:val="243442"/>
                <w:kern w:val="0"/>
                <w:sz w:val="18"/>
                <w:szCs w:val="22"/>
                <w:lang w:val="en-US" w:eastAsia="en-US" w:bidi="ar-SA"/>
              </w:rPr>
              <w:t>Green, rapid:</w:t>
            </w:r>
            <w:r>
              <w:rPr>
                <w:rFonts w:eastAsia="Arial Unicode MS" w:cs="Arial"/>
                <w:color w:val="243442"/>
                <w:kern w:val="0"/>
                <w:sz w:val="18"/>
                <w:szCs w:val="22"/>
                <w:lang w:val="en-US" w:eastAsia="en-US" w:bidi="ar-SA"/>
              </w:rPr>
              <w:t xml:space="preserve"> Network configuration in progress.</w:t>
            </w:r>
            <w:r>
              <w:rPr>
                <w:rFonts w:cs=""/>
                <w:kern w:val="0"/>
                <w:szCs w:val="22"/>
                <w:lang w:val="en-US" w:eastAsia="en-US" w:bidi="ar-SA"/>
              </w:rPr>
              <w:br/>
            </w:r>
            <w:r>
              <w:rPr>
                <w:rFonts w:eastAsia="Arial Unicode MS" w:cs="Arial"/>
                <w:b/>
                <w:color w:val="243442"/>
                <w:kern w:val="0"/>
                <w:sz w:val="18"/>
                <w:szCs w:val="22"/>
                <w:lang w:val="en-US" w:eastAsia="en-US" w:bidi="ar-SA"/>
              </w:rPr>
              <w:t>Blue, off:</w:t>
            </w:r>
            <w:r>
              <w:rPr>
                <w:rFonts w:eastAsia="Arial Unicode MS" w:cs="Arial"/>
                <w:color w:val="243442"/>
                <w:kern w:val="0"/>
                <w:sz w:val="18"/>
                <w:szCs w:val="22"/>
                <w:lang w:val="en-US" w:eastAsia="en-US" w:bidi="ar-SA"/>
              </w:rPr>
              <w:t xml:space="preserve"> No cellular module.</w:t>
            </w:r>
            <w:r>
              <w:rPr>
                <w:rFonts w:cs=""/>
                <w:kern w:val="0"/>
                <w:szCs w:val="22"/>
                <w:lang w:val="en-US" w:eastAsia="en-US" w:bidi="ar-SA"/>
              </w:rPr>
              <w:br/>
            </w:r>
            <w:r>
              <w:rPr>
                <w:rFonts w:eastAsia="Arial Unicode MS" w:cs="Arial"/>
                <w:b/>
                <w:color w:val="243442"/>
                <w:kern w:val="0"/>
                <w:sz w:val="18"/>
                <w:szCs w:val="22"/>
                <w:lang w:val="en-US" w:eastAsia="en-US" w:bidi="ar-SA"/>
              </w:rPr>
              <w:t>Blue, steady:</w:t>
            </w:r>
            <w:r>
              <w:rPr>
                <w:rFonts w:eastAsia="Arial Unicode MS" w:cs="Arial"/>
                <w:color w:val="243442"/>
                <w:kern w:val="0"/>
                <w:sz w:val="18"/>
                <w:szCs w:val="22"/>
                <w:lang w:val="en-US" w:eastAsia="en-US" w:bidi="ar-SA"/>
              </w:rPr>
              <w:t xml:space="preserve"> Module installed but no SIM.</w:t>
            </w:r>
            <w:r>
              <w:rPr>
                <w:rFonts w:cs=""/>
                <w:kern w:val="0"/>
                <w:szCs w:val="22"/>
                <w:lang w:val="en-US" w:eastAsia="en-US" w:bidi="ar-SA"/>
              </w:rPr>
              <w:br/>
            </w:r>
            <w:r>
              <w:rPr>
                <w:rFonts w:eastAsia="Arial Unicode MS" w:cs="Arial"/>
                <w:b/>
                <w:color w:val="243442"/>
                <w:kern w:val="0"/>
                <w:sz w:val="18"/>
                <w:szCs w:val="22"/>
                <w:lang w:val="en-US" w:eastAsia="en-US" w:bidi="ar-SA"/>
              </w:rPr>
              <w:t>Blue, irregular:</w:t>
            </w:r>
            <w:r>
              <w:rPr>
                <w:rFonts w:eastAsia="Arial Unicode MS" w:cs="Arial"/>
                <w:color w:val="243442"/>
                <w:kern w:val="0"/>
                <w:sz w:val="18"/>
                <w:szCs w:val="22"/>
                <w:lang w:val="en-US" w:eastAsia="en-US" w:bidi="ar-SA"/>
              </w:rPr>
              <w:t xml:space="preserve"> Cellular data activity.</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LoRa transceiver indicator</w:t>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Green</w:t>
            </w:r>
            <w:r>
              <w:rPr>
                <w:rFonts w:cs=""/>
                <w:kern w:val="0"/>
                <w:szCs w:val="22"/>
                <w:lang w:val="en-US" w:eastAsia="en-US" w:bidi="ar-SA"/>
              </w:rPr>
              <w:br/>
            </w:r>
            <w:r>
              <w:rPr>
                <w:rFonts w:eastAsia="Arial Unicode MS" w:cs="Arial"/>
                <w:color w:val="243442"/>
                <w:kern w:val="0"/>
                <w:sz w:val="18"/>
                <w:szCs w:val="22"/>
                <w:lang w:val="en-US" w:eastAsia="en-US" w:bidi="ar-SA"/>
              </w:rPr>
              <w:t>Blue</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b/>
                <w:color w:val="243442"/>
                <w:kern w:val="0"/>
                <w:sz w:val="18"/>
                <w:szCs w:val="22"/>
                <w:lang w:val="en-US" w:eastAsia="en-US" w:bidi="ar-SA"/>
              </w:rPr>
              <w:t>Green flashing:</w:t>
            </w:r>
            <w:r>
              <w:rPr>
                <w:rFonts w:eastAsia="Arial Unicode MS" w:cs="Arial"/>
                <w:color w:val="243442"/>
                <w:kern w:val="0"/>
                <w:sz w:val="18"/>
                <w:szCs w:val="22"/>
                <w:lang w:val="en-US" w:eastAsia="en-US" w:bidi="ar-SA"/>
              </w:rPr>
              <w:t xml:space="preserve"> Transmitting LoRa packets.</w:t>
            </w:r>
            <w:r>
              <w:rPr>
                <w:rFonts w:cs=""/>
                <w:kern w:val="0"/>
                <w:szCs w:val="22"/>
                <w:lang w:val="en-US" w:eastAsia="en-US" w:bidi="ar-SA"/>
              </w:rPr>
              <w:br/>
            </w:r>
            <w:r>
              <w:rPr>
                <w:rFonts w:eastAsia="Arial Unicode MS" w:cs="Arial"/>
                <w:b/>
                <w:color w:val="243442"/>
                <w:kern w:val="0"/>
                <w:sz w:val="18"/>
                <w:szCs w:val="22"/>
                <w:lang w:val="en-US" w:eastAsia="en-US" w:bidi="ar-SA"/>
              </w:rPr>
              <w:t>Blue flashing:</w:t>
            </w:r>
            <w:r>
              <w:rPr>
                <w:rFonts w:eastAsia="Arial Unicode MS" w:cs="Arial"/>
                <w:color w:val="243442"/>
                <w:kern w:val="0"/>
                <w:sz w:val="18"/>
                <w:szCs w:val="22"/>
                <w:lang w:val="en-US" w:eastAsia="en-US" w:bidi="ar-SA"/>
              </w:rPr>
              <w:t xml:space="preserve"> Receiving LoRa packets.</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LAN status indicator</w:t>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Red</w:t>
            </w:r>
            <w:r>
              <w:rPr>
                <w:rFonts w:cs=""/>
                <w:kern w:val="0"/>
                <w:szCs w:val="22"/>
                <w:lang w:val="en-US" w:eastAsia="en-US" w:bidi="ar-SA"/>
              </w:rPr>
              <w:br/>
            </w:r>
            <w:r>
              <w:rPr>
                <w:rFonts w:eastAsia="Arial Unicode MS" w:cs="Arial"/>
                <w:color w:val="243442"/>
                <w:kern w:val="0"/>
                <w:sz w:val="18"/>
                <w:szCs w:val="22"/>
                <w:lang w:val="en-US" w:eastAsia="en-US" w:bidi="ar-SA"/>
              </w:rPr>
              <w:t>Blue</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b/>
                <w:color w:val="243442"/>
                <w:kern w:val="0"/>
                <w:sz w:val="18"/>
                <w:szCs w:val="22"/>
                <w:lang w:val="en-US" w:eastAsia="en-US" w:bidi="ar-SA"/>
              </w:rPr>
              <w:t>Red:</w:t>
            </w:r>
            <w:r>
              <w:rPr>
                <w:rFonts w:eastAsia="Arial Unicode MS" w:cs="Arial"/>
                <w:color w:val="243442"/>
                <w:kern w:val="0"/>
                <w:sz w:val="18"/>
                <w:szCs w:val="22"/>
                <w:lang w:val="en-US" w:eastAsia="en-US" w:bidi="ar-SA"/>
              </w:rPr>
              <w:t xml:space="preserve"> System-control state.</w:t>
            </w:r>
            <w:r>
              <w:rPr>
                <w:rFonts w:cs=""/>
                <w:kern w:val="0"/>
                <w:szCs w:val="22"/>
                <w:lang w:val="en-US" w:eastAsia="en-US" w:bidi="ar-SA"/>
              </w:rPr>
              <w:br/>
            </w:r>
            <w:r>
              <w:rPr>
                <w:rFonts w:eastAsia="Arial Unicode MS" w:cs="Arial"/>
                <w:b/>
                <w:color w:val="243442"/>
                <w:kern w:val="0"/>
                <w:sz w:val="18"/>
                <w:szCs w:val="22"/>
                <w:lang w:val="en-US" w:eastAsia="en-US" w:bidi="ar-SA"/>
              </w:rPr>
              <w:t>Blue:</w:t>
            </w:r>
            <w:r>
              <w:rPr>
                <w:rFonts w:eastAsia="Arial Unicode MS" w:cs="Arial"/>
                <w:color w:val="243442"/>
                <w:kern w:val="0"/>
                <w:sz w:val="18"/>
                <w:szCs w:val="22"/>
                <w:lang w:val="en-US" w:eastAsia="en-US" w:bidi="ar-SA"/>
              </w:rPr>
              <w:t xml:space="preserve"> Wi-Fi connection state.</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Fault indicator</w:t>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b/>
                <w:color w:val="243442"/>
                <w:kern w:val="0"/>
                <w:sz w:val="18"/>
                <w:szCs w:val="22"/>
                <w:lang w:val="en-US" w:eastAsia="en-US" w:bidi="ar-SA"/>
              </w:rPr>
              <w:t>Rapid flashing:</w:t>
            </w:r>
            <w:r>
              <w:rPr>
                <w:rFonts w:eastAsia="Arial Unicode MS" w:cs="Arial"/>
                <w:color w:val="243442"/>
                <w:kern w:val="0"/>
                <w:sz w:val="18"/>
                <w:szCs w:val="22"/>
                <w:lang w:val="en-US" w:eastAsia="en-US" w:bidi="ar-SA"/>
              </w:rPr>
              <w:t xml:space="preserve"> Startup phase 2.</w:t>
            </w:r>
            <w:r>
              <w:rPr>
                <w:rFonts w:cs=""/>
                <w:kern w:val="0"/>
                <w:szCs w:val="22"/>
                <w:lang w:val="en-US" w:eastAsia="en-US" w:bidi="ar-SA"/>
              </w:rPr>
              <w:br/>
            </w:r>
            <w:r>
              <w:rPr>
                <w:rFonts w:eastAsia="Arial Unicode MS" w:cs="Arial"/>
                <w:b/>
                <w:color w:val="243442"/>
                <w:kern w:val="0"/>
                <w:sz w:val="18"/>
                <w:szCs w:val="22"/>
                <w:lang w:val="en-US" w:eastAsia="en-US" w:bidi="ar-SA"/>
              </w:rPr>
              <w:t>Off:</w:t>
            </w:r>
            <w:r>
              <w:rPr>
                <w:rFonts w:eastAsia="Arial Unicode MS" w:cs="Arial"/>
                <w:color w:val="243442"/>
                <w:kern w:val="0"/>
                <w:sz w:val="18"/>
                <w:szCs w:val="22"/>
                <w:lang w:val="en-US" w:eastAsia="en-US" w:bidi="ar-SA"/>
              </w:rPr>
              <w:t xml:space="preserve"> No fault.</w:t>
            </w:r>
            <w:r>
              <w:rPr>
                <w:rFonts w:cs=""/>
                <w:kern w:val="0"/>
                <w:szCs w:val="22"/>
                <w:lang w:val="en-US" w:eastAsia="en-US" w:bidi="ar-SA"/>
              </w:rPr>
              <w:br/>
            </w:r>
            <w:r>
              <w:rPr>
                <w:rFonts w:eastAsia="Arial Unicode MS" w:cs="Arial"/>
                <w:b/>
                <w:color w:val="243442"/>
                <w:kern w:val="0"/>
                <w:sz w:val="18"/>
                <w:szCs w:val="22"/>
                <w:lang w:val="en-US" w:eastAsia="en-US" w:bidi="ar-SA"/>
              </w:rPr>
              <w:t>Flashing:</w:t>
            </w:r>
            <w:r>
              <w:rPr>
                <w:rFonts w:eastAsia="Arial Unicode MS" w:cs="Arial"/>
                <w:color w:val="243442"/>
                <w:kern w:val="0"/>
                <w:sz w:val="18"/>
                <w:szCs w:val="22"/>
                <w:lang w:val="en-US" w:eastAsia="en-US" w:bidi="ar-SA"/>
              </w:rPr>
              <w:t xml:space="preserve"> Fault detected.</w:t>
            </w:r>
          </w:p>
        </w:tc>
      </w:tr>
    </w:tbl>
    <w:p>
      <w:pPr>
        <w:pStyle w:val="Normal"/>
        <w:spacing w:before="0" w:after="40"/>
        <w:rPr/>
      </w:pPr>
      <w:r>
        <w:rPr/>
      </w:r>
    </w:p>
    <w:p>
      <w:pPr>
        <w:pStyle w:val="Heading1"/>
        <w:rPr/>
      </w:pPr>
      <w:bookmarkStart w:id="7" w:name="manual_heading_008"/>
      <w:r>
        <w:rPr>
          <w:rFonts w:eastAsia="Arial Unicode MS" w:cs="Arial" w:ascii="Arial" w:hAnsi="Arial"/>
          <w:color w:val="1E6F9F"/>
          <w:sz w:val="32"/>
        </w:rPr>
        <w:t>8. Product Model</w:t>
      </w:r>
      <w:bookmarkEnd w:id="7"/>
    </w:p>
    <w:p>
      <w:pPr>
        <w:pStyle w:val="Heading2"/>
        <w:rPr/>
      </w:pPr>
      <w:bookmarkStart w:id="8" w:name="manual_heading_009"/>
      <w:r>
        <w:rPr>
          <w:rFonts w:eastAsia="Arial Unicode MS" w:cs="Arial" w:ascii="Arial" w:hAnsi="Arial"/>
          <w:color w:val="1E6F9F"/>
          <w:sz w:val="26"/>
        </w:rPr>
        <w:t>8.1 Standard Model</w:t>
      </w:r>
      <w:bookmarkEnd w:id="8"/>
    </w:p>
    <w:p>
      <w:pPr>
        <w:pStyle w:val="Normal"/>
        <w:rPr/>
      </w:pPr>
      <w:r>
        <w:rPr>
          <w:rFonts w:eastAsia="Arial Unicode MS" w:cs="Arial"/>
          <w:color w:val="243442"/>
          <w:sz w:val="22"/>
        </w:rPr>
        <w:t xml:space="preserve">The GD71 standard model is </w:t>
      </w:r>
      <w:r>
        <w:rPr>
          <w:rFonts w:eastAsia="Arial Unicode MS" w:cs="Menlo" w:ascii="Menlo" w:hAnsi="Menlo"/>
          <w:color w:val="18324A"/>
          <w:sz w:val="21"/>
        </w:rPr>
        <w:t>GD718-AG-AS923-N-2</w:t>
      </w:r>
      <w:r>
        <w:rPr>
          <w:rFonts w:eastAsia="Arial Unicode MS" w:cs="Arial"/>
          <w:color w:val="243442"/>
          <w:sz w:val="22"/>
        </w:rPr>
        <w:t>.</w:t>
      </w:r>
    </w:p>
    <w:p>
      <w:pPr>
        <w:pStyle w:val="Heading2"/>
        <w:rPr/>
      </w:pPr>
      <w:bookmarkStart w:id="9" w:name="manual_heading_010"/>
      <w:r>
        <w:rPr>
          <w:rFonts w:eastAsia="Arial Unicode MS" w:cs="Arial" w:ascii="Arial" w:hAnsi="Arial"/>
          <w:color w:val="1E6F9F"/>
          <w:sz w:val="26"/>
        </w:rPr>
        <w:t>8.2 Model Components</w:t>
      </w:r>
      <w:bookmarkEnd w:id="9"/>
    </w:p>
    <w:p>
      <w:pPr>
        <w:pStyle w:val="ListBullet"/>
        <w:numPr>
          <w:ilvl w:val="0"/>
          <w:numId w:val="1"/>
        </w:numPr>
        <w:ind w:hanging="271" w:start="540"/>
        <w:rPr/>
      </w:pPr>
      <w:r>
        <w:rPr>
          <w:rFonts w:eastAsia="Arial Unicode MS" w:cs="Arial"/>
          <w:b/>
          <w:color w:val="243442"/>
          <w:sz w:val="22"/>
        </w:rPr>
        <w:t>GD718: series and RF band.</w:t>
      </w:r>
      <w:r>
        <w:rPr>
          <w:rFonts w:eastAsia="Arial Unicode MS" w:cs="Arial"/>
          <w:color w:val="243442"/>
          <w:sz w:val="22"/>
        </w:rPr>
        <w:t xml:space="preserve"> GD71 identifies the indoor LoRaWAN gateway series; 8 identifies the 800 MHz-and-above RF version.</w:t>
      </w:r>
    </w:p>
    <w:p>
      <w:pPr>
        <w:pStyle w:val="ListBullet"/>
        <w:numPr>
          <w:ilvl w:val="0"/>
          <w:numId w:val="1"/>
        </w:numPr>
        <w:ind w:hanging="271" w:start="540"/>
        <w:rPr/>
      </w:pPr>
      <w:r>
        <w:rPr>
          <w:rFonts w:eastAsia="Arial Unicode MS" w:cs="Arial"/>
          <w:b/>
          <w:color w:val="243442"/>
          <w:sz w:val="22"/>
        </w:rPr>
        <w:t>-AG: LoRa architecture and cellular configuration.</w:t>
      </w:r>
      <w:r>
        <w:rPr>
          <w:rFonts w:eastAsia="Arial Unicode MS" w:cs="Arial"/>
          <w:color w:val="243442"/>
          <w:sz w:val="22"/>
        </w:rPr>
        <w:t xml:space="preserve"> A identifies one LoRa antenna, 8 frequency points, 65 channels and half-duplex operation; G identifies an integrated cellular module.</w:t>
      </w:r>
    </w:p>
    <w:p>
      <w:pPr>
        <w:pStyle w:val="ListBullet"/>
        <w:numPr>
          <w:ilvl w:val="0"/>
          <w:numId w:val="1"/>
        </w:numPr>
        <w:ind w:hanging="271" w:start="540"/>
        <w:rPr/>
      </w:pPr>
      <w:r>
        <w:rPr>
          <w:rFonts w:eastAsia="Arial Unicode MS" w:cs="Arial"/>
          <w:b/>
          <w:color w:val="243442"/>
          <w:sz w:val="22"/>
        </w:rPr>
        <w:t>-AS923: LoRaWAN regional standard.</w:t>
      </w:r>
      <w:r>
        <w:rPr>
          <w:rFonts w:eastAsia="Arial Unicode MS" w:cs="Arial"/>
          <w:color w:val="243442"/>
          <w:sz w:val="22"/>
        </w:rPr>
        <w:t xml:space="preserve"> Identifies support for the AS923 regional parameters.</w:t>
      </w:r>
    </w:p>
    <w:p>
      <w:pPr>
        <w:pStyle w:val="ListBullet"/>
        <w:numPr>
          <w:ilvl w:val="0"/>
          <w:numId w:val="1"/>
        </w:numPr>
        <w:ind w:hanging="271" w:start="540"/>
        <w:rPr/>
      </w:pPr>
      <w:r>
        <w:rPr>
          <w:rFonts w:eastAsia="Arial Unicode MS" w:cs="Arial"/>
          <w:b/>
          <w:color w:val="243442"/>
          <w:sz w:val="22"/>
        </w:rPr>
        <w:t>-N: version code.</w:t>
      </w:r>
      <w:r>
        <w:rPr>
          <w:rFonts w:eastAsia="Arial Unicode MS" w:cs="Arial"/>
          <w:color w:val="243442"/>
          <w:sz w:val="22"/>
        </w:rPr>
        <w:t xml:space="preserve"> N identifies the default version; other values are used for customized versions.</w:t>
      </w:r>
    </w:p>
    <w:p>
      <w:pPr>
        <w:pStyle w:val="ListBullet"/>
        <w:numPr>
          <w:ilvl w:val="0"/>
          <w:numId w:val="1"/>
        </w:numPr>
        <w:ind w:hanging="271" w:start="540"/>
        <w:rPr/>
      </w:pPr>
      <w:r>
        <w:rPr>
          <w:rFonts w:eastAsia="Arial Unicode MS" w:cs="Arial"/>
          <w:b/>
          <w:color w:val="243442"/>
          <w:sz w:val="22"/>
        </w:rPr>
        <w:t>-1: transmit-power version.</w:t>
      </w:r>
      <w:r>
        <w:rPr>
          <w:rFonts w:eastAsia="Arial Unicode MS" w:cs="Arial"/>
          <w:color w:val="243442"/>
          <w:sz w:val="22"/>
        </w:rPr>
        <w:t xml:space="preserve"> Maximum transmit power is 27 dBm, with a maximum-power tolerance of ±2 dBm.</w:t>
      </w:r>
    </w:p>
    <w:p>
      <w:pPr>
        <w:pStyle w:val="ListBullet"/>
        <w:numPr>
          <w:ilvl w:val="0"/>
          <w:numId w:val="1"/>
        </w:numPr>
        <w:ind w:hanging="271" w:start="540"/>
        <w:rPr/>
      </w:pPr>
      <w:r>
        <w:rPr>
          <w:rFonts w:eastAsia="Arial Unicode MS" w:cs="Arial"/>
          <w:b/>
          <w:color w:val="243442"/>
          <w:sz w:val="22"/>
        </w:rPr>
        <w:t>-2: transmit-power version.</w:t>
      </w:r>
      <w:r>
        <w:rPr>
          <w:rFonts w:eastAsia="Arial Unicode MS" w:cs="Arial"/>
          <w:color w:val="243442"/>
          <w:sz w:val="22"/>
        </w:rPr>
        <w:t xml:space="preserve"> Maximum transmit power is 22 dBm, with a maximum-power tolerance of ±2 dBm.</w:t>
      </w:r>
    </w:p>
    <w:p>
      <w:pPr>
        <w:pStyle w:val="Heading1"/>
        <w:rPr/>
      </w:pPr>
      <w:bookmarkStart w:id="10" w:name="manual_heading_011"/>
      <w:r>
        <w:rPr>
          <w:rFonts w:eastAsia="Arial Unicode MS" w:cs="Arial" w:ascii="Arial" w:hAnsi="Arial"/>
          <w:color w:val="1E6F9F"/>
          <w:sz w:val="32"/>
        </w:rPr>
        <w:t>9. Gateway Installation</w:t>
      </w:r>
      <w:bookmarkEnd w:id="10"/>
    </w:p>
    <w:p>
      <w:pPr>
        <w:pStyle w:val="Normal"/>
        <w:rPr/>
      </w:pPr>
      <w:r>
        <w:rPr>
          <w:rFonts w:eastAsia="Arial Unicode MS" w:cs="Arial"/>
          <w:b/>
          <w:color w:val="243442"/>
          <w:sz w:val="22"/>
        </w:rPr>
        <w:t>Do not open the gateway enclosure during installation. Disconnect power first and verify that antennas, PoE, grounding and cabling meet site requirements.</w:t>
      </w:r>
    </w:p>
    <w:p>
      <w:pPr>
        <w:pStyle w:val="Heading1"/>
        <w:rPr/>
      </w:pPr>
      <w:bookmarkStart w:id="11" w:name="manual_heading_012"/>
      <w:r>
        <w:rPr>
          <w:rFonts w:eastAsia="Arial Unicode MS" w:cs="Arial" w:ascii="Arial" w:hAnsi="Arial"/>
          <w:color w:val="1E6F9F"/>
          <w:sz w:val="32"/>
        </w:rPr>
        <w:t>10. Accessory Connections</w:t>
      </w:r>
      <w:bookmarkEnd w:id="11"/>
    </w:p>
    <w:p>
      <w:pPr>
        <w:pStyle w:val="Heading2"/>
        <w:rPr/>
      </w:pPr>
      <w:bookmarkStart w:id="12" w:name="manual_heading_013"/>
      <w:r>
        <w:rPr>
          <w:rFonts w:eastAsia="Arial Unicode MS" w:cs="Arial" w:ascii="Arial" w:hAnsi="Arial"/>
          <w:color w:val="1E6F9F"/>
          <w:sz w:val="26"/>
        </w:rPr>
        <w:t>10.1 Antenna Connection</w:t>
      </w:r>
      <w:bookmarkEnd w:id="12"/>
    </w:p>
    <w:p>
      <w:pPr>
        <w:pStyle w:val="ListNumber"/>
        <w:numPr>
          <w:ilvl w:val="0"/>
          <w:numId w:val="13"/>
        </w:numPr>
        <w:ind w:hanging="271" w:start="540"/>
        <w:rPr/>
      </w:pPr>
      <w:r>
        <w:rPr>
          <w:rFonts w:eastAsia="Arial Unicode MS" w:cs="Arial"/>
          <w:color w:val="243442"/>
          <w:sz w:val="22"/>
        </w:rPr>
        <w:t>Connect the LoRa antenna to the LoRa interface.</w:t>
      </w:r>
    </w:p>
    <w:p>
      <w:pPr>
        <w:pStyle w:val="ListNumber"/>
        <w:numPr>
          <w:ilvl w:val="0"/>
          <w:numId w:val="7"/>
        </w:numPr>
        <w:ind w:hanging="271" w:start="540"/>
        <w:rPr/>
      </w:pPr>
      <w:r>
        <w:rPr>
          <w:rFonts w:eastAsia="Arial Unicode MS" w:cs="Arial"/>
          <w:color w:val="243442"/>
          <w:sz w:val="22"/>
        </w:rPr>
        <w:t>Connect the LTE, GPS/BeiDou and Wi-Fi antennas to their matching labeled interfaces.</w:t>
      </w:r>
    </w:p>
    <w:p>
      <w:pPr>
        <w:pStyle w:val="ListNumber"/>
        <w:numPr>
          <w:ilvl w:val="0"/>
          <w:numId w:val="7"/>
        </w:numPr>
        <w:ind w:hanging="271" w:start="540"/>
        <w:rPr/>
      </w:pPr>
      <w:r>
        <w:rPr>
          <w:rFonts w:eastAsia="Arial Unicode MS" w:cs="Arial"/>
          <w:color w:val="243442"/>
          <w:sz w:val="22"/>
        </w:rPr>
        <w:t>Tighten all antenna connectors evenly.</w:t>
      </w:r>
    </w:p>
    <w:p>
      <w:pPr>
        <w:pStyle w:val="Normal"/>
        <w:keepNext w:val="true"/>
        <w:keepLines/>
        <w:spacing w:before="80" w:after="40"/>
        <w:jc w:val="center"/>
        <w:rPr/>
      </w:pPr>
      <w:r>
        <w:rPr/>
        <w:drawing>
          <wp:inline distT="0" distB="0" distL="0" distR="0">
            <wp:extent cx="3750310" cy="5303520"/>
            <wp:effectExtent l="0" t="0" r="0" b="0"/>
            <wp:docPr id="3" name="Picture 3" descr="GD71 antenna connection" title="GD71 antenna conn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D71 antenna connection" title="GD71 antenna connection"/>
                    <pic:cNvPicPr>
                      <a:picLocks noChangeAspect="1" noChangeArrowheads="1"/>
                    </pic:cNvPicPr>
                  </pic:nvPicPr>
                  <pic:blipFill>
                    <a:blip r:embed="rId4"/>
                    <a:stretch>
                      <a:fillRect/>
                    </a:stretch>
                  </pic:blipFill>
                  <pic:spPr bwMode="auto">
                    <a:xfrm>
                      <a:off x="0" y="0"/>
                      <a:ext cx="3750310" cy="5303520"/>
                    </a:xfrm>
                    <a:prstGeom prst="rect">
                      <a:avLst/>
                    </a:prstGeom>
                    <a:noFill/>
                  </pic:spPr>
                </pic:pic>
              </a:graphicData>
            </a:graphic>
          </wp:inline>
        </w:drawing>
      </w:r>
    </w:p>
    <w:p>
      <w:pPr>
        <w:pStyle w:val="FigureCaption"/>
        <w:rPr/>
      </w:pPr>
      <w:r>
        <w:rPr/>
        <w:t>Figure  GD71 antenna connection</w:t>
      </w:r>
    </w:p>
    <w:p>
      <w:pPr>
        <w:pStyle w:val="Heading2"/>
        <w:rPr/>
      </w:pPr>
      <w:bookmarkStart w:id="13" w:name="manual_heading_014"/>
      <w:r>
        <w:rPr>
          <w:rFonts w:eastAsia="Arial Unicode MS" w:cs="Arial" w:ascii="Arial" w:hAnsi="Arial"/>
          <w:color w:val="1E6F9F"/>
          <w:sz w:val="26"/>
        </w:rPr>
        <w:t>10.2 Type-C Power Connection</w:t>
      </w:r>
      <w:bookmarkEnd w:id="13"/>
    </w:p>
    <w:p>
      <w:pPr>
        <w:pStyle w:val="ListNumber"/>
        <w:numPr>
          <w:ilvl w:val="0"/>
          <w:numId w:val="14"/>
        </w:numPr>
        <w:ind w:hanging="271" w:start="540"/>
        <w:rPr/>
      </w:pPr>
      <w:r>
        <w:rPr>
          <w:rFonts w:eastAsia="Arial Unicode MS" w:cs="Arial"/>
          <w:color w:val="243442"/>
          <w:sz w:val="22"/>
        </w:rPr>
        <w:t>The Type-C power cable is not required when PoE is used.</w:t>
      </w:r>
    </w:p>
    <w:p>
      <w:pPr>
        <w:pStyle w:val="ListNumber"/>
        <w:numPr>
          <w:ilvl w:val="0"/>
          <w:numId w:val="7"/>
        </w:numPr>
        <w:ind w:hanging="271" w:start="540"/>
        <w:rPr/>
      </w:pPr>
      <w:r>
        <w:rPr>
          <w:rFonts w:eastAsia="Arial Unicode MS" w:cs="Arial"/>
          <w:color w:val="243442"/>
          <w:sz w:val="22"/>
        </w:rPr>
        <w:t>For USB power, connect the Type-C cable to the gateway USB interface.</w:t>
      </w:r>
    </w:p>
    <w:p>
      <w:pPr>
        <w:pStyle w:val="Normal"/>
        <w:keepNext w:val="true"/>
        <w:keepLines/>
        <w:spacing w:before="80" w:after="40"/>
        <w:jc w:val="center"/>
        <w:rPr/>
      </w:pPr>
      <w:r>
        <w:rPr/>
        <w:drawing>
          <wp:inline distT="0" distB="0" distL="0" distR="0">
            <wp:extent cx="5532120" cy="2258695"/>
            <wp:effectExtent l="0" t="0" r="0" b="0"/>
            <wp:docPr id="4" name="Picture 4" descr="GD71 Type-C power connection" title="GD71 Type-C power conn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D71 Type-C power connection" title="GD71 Type-C power connection"/>
                    <pic:cNvPicPr>
                      <a:picLocks noChangeAspect="1" noChangeArrowheads="1"/>
                    </pic:cNvPicPr>
                  </pic:nvPicPr>
                  <pic:blipFill>
                    <a:blip r:embed="rId5"/>
                    <a:stretch>
                      <a:fillRect/>
                    </a:stretch>
                  </pic:blipFill>
                  <pic:spPr bwMode="auto">
                    <a:xfrm>
                      <a:off x="0" y="0"/>
                      <a:ext cx="5532120" cy="2258695"/>
                    </a:xfrm>
                    <a:prstGeom prst="rect">
                      <a:avLst/>
                    </a:prstGeom>
                    <a:noFill/>
                  </pic:spPr>
                </pic:pic>
              </a:graphicData>
            </a:graphic>
          </wp:inline>
        </w:drawing>
      </w:r>
    </w:p>
    <w:p>
      <w:pPr>
        <w:pStyle w:val="FigureCaption"/>
        <w:rPr/>
      </w:pPr>
      <w:r>
        <w:rPr/>
        <w:t>Figure  GD71 Type-C power connection</w:t>
      </w:r>
    </w:p>
    <w:p>
      <w:pPr>
        <w:pStyle w:val="Heading2"/>
        <w:rPr/>
      </w:pPr>
      <w:bookmarkStart w:id="14" w:name="manual_heading_015"/>
      <w:r>
        <w:rPr>
          <w:rFonts w:eastAsia="Arial Unicode MS" w:cs="Arial" w:ascii="Arial" w:hAnsi="Arial"/>
          <w:color w:val="1E6F9F"/>
          <w:sz w:val="26"/>
        </w:rPr>
        <w:t>10.3 Network Cable Connection</w:t>
      </w:r>
      <w:bookmarkEnd w:id="14"/>
    </w:p>
    <w:p>
      <w:pPr>
        <w:pStyle w:val="ListNumber"/>
        <w:numPr>
          <w:ilvl w:val="0"/>
          <w:numId w:val="15"/>
        </w:numPr>
        <w:ind w:hanging="271" w:start="540"/>
        <w:rPr/>
      </w:pPr>
      <w:r>
        <w:rPr>
          <w:rFonts w:eastAsia="Arial Unicode MS" w:cs="Arial"/>
          <w:color w:val="243442"/>
          <w:sz w:val="22"/>
        </w:rPr>
        <w:t>Connect the network cable to the gateway RJ45 interface.</w:t>
      </w:r>
    </w:p>
    <w:p>
      <w:pPr>
        <w:pStyle w:val="ListNumber"/>
        <w:numPr>
          <w:ilvl w:val="0"/>
          <w:numId w:val="7"/>
        </w:numPr>
        <w:ind w:hanging="271" w:start="540"/>
        <w:rPr/>
      </w:pPr>
      <w:r>
        <w:rPr>
          <w:rFonts w:eastAsia="Arial Unicode MS" w:cs="Arial"/>
          <w:color w:val="243442"/>
          <w:sz w:val="22"/>
        </w:rPr>
        <w:t>When using PoE/PoE+ power, connect the other end to compliant PoE equipment.</w:t>
      </w:r>
    </w:p>
    <w:p>
      <w:pPr>
        <w:pStyle w:val="Normal"/>
        <w:keepNext w:val="true"/>
        <w:keepLines/>
        <w:spacing w:before="80" w:after="40"/>
        <w:jc w:val="center"/>
        <w:rPr/>
      </w:pPr>
      <w:r>
        <w:rPr/>
        <w:drawing>
          <wp:inline distT="0" distB="0" distL="0" distR="0">
            <wp:extent cx="5532120" cy="2258695"/>
            <wp:effectExtent l="0" t="0" r="0" b="0"/>
            <wp:docPr id="5" name="Picture 5" descr="GD71 network cable connection" title="GD71 network cable conn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D71 network cable connection" title="GD71 network cable connection"/>
                    <pic:cNvPicPr>
                      <a:picLocks noChangeAspect="1" noChangeArrowheads="1"/>
                    </pic:cNvPicPr>
                  </pic:nvPicPr>
                  <pic:blipFill>
                    <a:blip r:embed="rId6"/>
                    <a:stretch>
                      <a:fillRect/>
                    </a:stretch>
                  </pic:blipFill>
                  <pic:spPr bwMode="auto">
                    <a:xfrm>
                      <a:off x="0" y="0"/>
                      <a:ext cx="5532120" cy="2258695"/>
                    </a:xfrm>
                    <a:prstGeom prst="rect">
                      <a:avLst/>
                    </a:prstGeom>
                    <a:noFill/>
                  </pic:spPr>
                </pic:pic>
              </a:graphicData>
            </a:graphic>
          </wp:inline>
        </w:drawing>
      </w:r>
    </w:p>
    <w:p>
      <w:pPr>
        <w:pStyle w:val="FigureCaption"/>
        <w:rPr/>
      </w:pPr>
      <w:r>
        <w:rPr/>
        <w:t>Figure  GD71 network cable connection</w:t>
      </w:r>
    </w:p>
    <w:p>
      <w:pPr>
        <w:pStyle w:val="Heading2"/>
        <w:rPr/>
      </w:pPr>
      <w:bookmarkStart w:id="15" w:name="manual_heading_016"/>
      <w:r>
        <w:rPr>
          <w:rFonts w:eastAsia="Arial Unicode MS" w:cs="Arial" w:ascii="Arial" w:hAnsi="Arial"/>
          <w:color w:val="1E6F9F"/>
          <w:sz w:val="26"/>
        </w:rPr>
        <w:t>10.4 SIM Card Installation</w:t>
      </w:r>
      <w:bookmarkEnd w:id="15"/>
    </w:p>
    <w:p>
      <w:pPr>
        <w:pStyle w:val="ListNumber"/>
        <w:numPr>
          <w:ilvl w:val="0"/>
          <w:numId w:val="16"/>
        </w:numPr>
        <w:ind w:hanging="271" w:start="540"/>
        <w:rPr/>
      </w:pPr>
      <w:r>
        <w:rPr>
          <w:rFonts w:eastAsia="Arial Unicode MS" w:cs="Arial"/>
          <w:color w:val="243442"/>
          <w:sz w:val="22"/>
        </w:rPr>
        <w:t>Before using cellular networking, insert a nano-SIM card into the gateway SIM slot.</w:t>
      </w:r>
    </w:p>
    <w:p>
      <w:pPr>
        <w:pStyle w:val="ListNumber"/>
        <w:numPr>
          <w:ilvl w:val="0"/>
          <w:numId w:val="7"/>
        </w:numPr>
        <w:ind w:hanging="271" w:start="540"/>
        <w:rPr/>
      </w:pPr>
      <w:r>
        <w:rPr>
          <w:rFonts w:eastAsia="Arial Unicode MS" w:cs="Arial"/>
          <w:color w:val="243442"/>
          <w:sz w:val="22"/>
        </w:rPr>
        <w:t>Keep the SIM contacts facing down with the notch in the upper-left corner.</w:t>
      </w:r>
    </w:p>
    <w:p>
      <w:pPr>
        <w:pStyle w:val="Normal"/>
        <w:keepNext w:val="true"/>
        <w:keepLines/>
        <w:spacing w:before="80" w:after="40"/>
        <w:jc w:val="center"/>
        <w:rPr/>
      </w:pPr>
      <w:r>
        <w:rPr/>
        <w:drawing>
          <wp:inline distT="0" distB="0" distL="0" distR="0">
            <wp:extent cx="5532120" cy="2258695"/>
            <wp:effectExtent l="0" t="0" r="0" b="0"/>
            <wp:docPr id="6" name="Picture 6" descr="GD71 SIM card installation" title="GD71 SIM card instal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D71 SIM card installation" title="GD71 SIM card installation"/>
                    <pic:cNvPicPr>
                      <a:picLocks noChangeAspect="1" noChangeArrowheads="1"/>
                    </pic:cNvPicPr>
                  </pic:nvPicPr>
                  <pic:blipFill>
                    <a:blip r:embed="rId7"/>
                    <a:stretch>
                      <a:fillRect/>
                    </a:stretch>
                  </pic:blipFill>
                  <pic:spPr bwMode="auto">
                    <a:xfrm>
                      <a:off x="0" y="0"/>
                      <a:ext cx="5532120" cy="2258695"/>
                    </a:xfrm>
                    <a:prstGeom prst="rect">
                      <a:avLst/>
                    </a:prstGeom>
                    <a:noFill/>
                  </pic:spPr>
                </pic:pic>
              </a:graphicData>
            </a:graphic>
          </wp:inline>
        </w:drawing>
      </w:r>
    </w:p>
    <w:p>
      <w:pPr>
        <w:pStyle w:val="FigureCaption"/>
        <w:rPr/>
      </w:pPr>
      <w:r>
        <w:rPr/>
        <w:t>Figure  GD71 SIM card installation</w:t>
      </w:r>
    </w:p>
    <w:p>
      <w:pPr>
        <w:pStyle w:val="Normal"/>
        <w:keepNext w:val="true"/>
        <w:keepLines/>
        <w:spacing w:before="80" w:after="40"/>
        <w:jc w:val="center"/>
        <w:rPr/>
      </w:pPr>
      <w:r>
        <w:rPr/>
        <w:drawing>
          <wp:inline distT="0" distB="0" distL="0" distR="0">
            <wp:extent cx="5532120" cy="4149090"/>
            <wp:effectExtent l="0" t="0" r="0" b="0"/>
            <wp:docPr id="7" name="Picture 7" descr="GD71 SIM card orientation" title="GD71 SIM card ori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D71 SIM card orientation" title="GD71 SIM card orientation"/>
                    <pic:cNvPicPr>
                      <a:picLocks noChangeAspect="1" noChangeArrowheads="1"/>
                    </pic:cNvPicPr>
                  </pic:nvPicPr>
                  <pic:blipFill>
                    <a:blip r:embed="rId8"/>
                    <a:stretch>
                      <a:fillRect/>
                    </a:stretch>
                  </pic:blipFill>
                  <pic:spPr bwMode="auto">
                    <a:xfrm>
                      <a:off x="0" y="0"/>
                      <a:ext cx="5532120" cy="4149090"/>
                    </a:xfrm>
                    <a:prstGeom prst="rect">
                      <a:avLst/>
                    </a:prstGeom>
                    <a:noFill/>
                  </pic:spPr>
                </pic:pic>
              </a:graphicData>
            </a:graphic>
          </wp:inline>
        </w:drawing>
      </w:r>
    </w:p>
    <w:p>
      <w:pPr>
        <w:pStyle w:val="FigureCaption"/>
        <w:rPr/>
      </w:pPr>
      <w:r>
        <w:rPr/>
        <w:t>Figure  GD71 SIM card orientation</w:t>
      </w:r>
    </w:p>
    <w:p>
      <w:pPr>
        <w:pStyle w:val="Heading1"/>
        <w:rPr/>
      </w:pPr>
      <w:bookmarkStart w:id="16" w:name="manual_heading_017"/>
      <w:r>
        <w:rPr>
          <w:rFonts w:eastAsia="Arial Unicode MS" w:cs="Arial" w:ascii="Arial" w:hAnsi="Arial"/>
          <w:color w:val="1E6F9F"/>
          <w:sz w:val="32"/>
        </w:rPr>
        <w:t>11. Gateway Mounting</w:t>
      </w:r>
      <w:bookmarkEnd w:id="16"/>
    </w:p>
    <w:p>
      <w:pPr>
        <w:pStyle w:val="Heading2"/>
        <w:rPr/>
      </w:pPr>
      <w:bookmarkStart w:id="17" w:name="manual_heading_018"/>
      <w:r>
        <w:rPr>
          <w:rFonts w:eastAsia="Arial Unicode MS" w:cs="Arial" w:ascii="Arial" w:hAnsi="Arial"/>
          <w:color w:val="1E6F9F"/>
          <w:sz w:val="26"/>
        </w:rPr>
        <w:t>11.1 Wall Mounting</w:t>
      </w:r>
      <w:bookmarkEnd w:id="17"/>
    </w:p>
    <w:p>
      <w:pPr>
        <w:pStyle w:val="ListNumber"/>
        <w:numPr>
          <w:ilvl w:val="0"/>
          <w:numId w:val="17"/>
        </w:numPr>
        <w:ind w:hanging="271" w:start="540"/>
        <w:rPr/>
      </w:pPr>
      <w:r>
        <w:rPr>
          <w:rFonts w:eastAsia="Arial Unicode MS" w:cs="Arial"/>
          <w:color w:val="243442"/>
          <w:sz w:val="22"/>
        </w:rPr>
        <w:t>Mark and drill the wall using the backplate holes, then install anchors suitable for the wall material.</w:t>
      </w:r>
    </w:p>
    <w:p>
      <w:pPr>
        <w:pStyle w:val="ListNumber"/>
        <w:numPr>
          <w:ilvl w:val="0"/>
          <w:numId w:val="7"/>
        </w:numPr>
        <w:ind w:hanging="271" w:start="540"/>
        <w:rPr/>
      </w:pPr>
      <w:r>
        <w:rPr>
          <w:rFonts w:eastAsia="Arial Unicode MS" w:cs="Arial"/>
          <w:color w:val="243442"/>
          <w:sz w:val="22"/>
        </w:rPr>
        <w:t>Fasten the mounting backplate to the wall and tighten the screws evenly.</w:t>
      </w:r>
    </w:p>
    <w:p>
      <w:pPr>
        <w:pStyle w:val="ListNumber"/>
        <w:numPr>
          <w:ilvl w:val="0"/>
          <w:numId w:val="7"/>
        </w:numPr>
        <w:ind w:hanging="271" w:start="540"/>
        <w:rPr/>
      </w:pPr>
      <w:r>
        <w:rPr>
          <w:rFonts w:eastAsia="Arial Unicode MS" w:cs="Arial"/>
          <w:color w:val="243442"/>
          <w:sz w:val="22"/>
        </w:rPr>
        <w:t>Engage the gateway rear slots with the backplate and verify that the gateway is secure.</w:t>
      </w:r>
    </w:p>
    <w:p>
      <w:pPr>
        <w:pStyle w:val="Normal"/>
        <w:keepNext w:val="true"/>
        <w:keepLines/>
        <w:spacing w:before="80" w:after="40"/>
        <w:jc w:val="center"/>
        <w:rPr/>
      </w:pPr>
      <w:r>
        <w:rPr/>
        <w:drawing>
          <wp:inline distT="0" distB="0" distL="0" distR="0">
            <wp:extent cx="5532120" cy="2669540"/>
            <wp:effectExtent l="0" t="0" r="0" b="0"/>
            <wp:docPr id="8" name="Picture 8" descr="GD71 mounting backplate" title="GD71 mounting back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D71 mounting backplate" title="GD71 mounting backplate"/>
                    <pic:cNvPicPr>
                      <a:picLocks noChangeAspect="1" noChangeArrowheads="1"/>
                    </pic:cNvPicPr>
                  </pic:nvPicPr>
                  <pic:blipFill>
                    <a:blip r:embed="rId9"/>
                    <a:stretch>
                      <a:fillRect/>
                    </a:stretch>
                  </pic:blipFill>
                  <pic:spPr bwMode="auto">
                    <a:xfrm>
                      <a:off x="0" y="0"/>
                      <a:ext cx="5532120" cy="2669540"/>
                    </a:xfrm>
                    <a:prstGeom prst="rect">
                      <a:avLst/>
                    </a:prstGeom>
                    <a:noFill/>
                  </pic:spPr>
                </pic:pic>
              </a:graphicData>
            </a:graphic>
          </wp:inline>
        </w:drawing>
      </w:r>
    </w:p>
    <w:p>
      <w:pPr>
        <w:pStyle w:val="FigureCaption"/>
        <w:rPr/>
      </w:pPr>
      <w:r>
        <w:rPr/>
        <w:t>Figure  GD71 mounting backplate</w:t>
      </w:r>
    </w:p>
    <w:p>
      <w:pPr>
        <w:pStyle w:val="Normal"/>
        <w:keepNext w:val="true"/>
        <w:keepLines/>
        <w:spacing w:before="80" w:after="40"/>
        <w:jc w:val="center"/>
        <w:rPr/>
      </w:pPr>
      <w:r>
        <w:rPr/>
        <w:drawing>
          <wp:inline distT="0" distB="0" distL="0" distR="0">
            <wp:extent cx="5532120" cy="5243830"/>
            <wp:effectExtent l="0" t="0" r="0" b="0"/>
            <wp:docPr id="9" name="Picture 9" descr="GD71 wall mounting" title="GD71 wall mou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D71 wall mounting" title="GD71 wall mounting"/>
                    <pic:cNvPicPr>
                      <a:picLocks noChangeAspect="1" noChangeArrowheads="1"/>
                    </pic:cNvPicPr>
                  </pic:nvPicPr>
                  <pic:blipFill>
                    <a:blip r:embed="rId10"/>
                    <a:stretch>
                      <a:fillRect/>
                    </a:stretch>
                  </pic:blipFill>
                  <pic:spPr bwMode="auto">
                    <a:xfrm>
                      <a:off x="0" y="0"/>
                      <a:ext cx="5532120" cy="5243830"/>
                    </a:xfrm>
                    <a:prstGeom prst="rect">
                      <a:avLst/>
                    </a:prstGeom>
                    <a:noFill/>
                  </pic:spPr>
                </pic:pic>
              </a:graphicData>
            </a:graphic>
          </wp:inline>
        </w:drawing>
      </w:r>
    </w:p>
    <w:p>
      <w:pPr>
        <w:pStyle w:val="FigureCaption"/>
        <w:rPr/>
      </w:pPr>
      <w:r>
        <w:rPr/>
        <w:t>Figure  GD71 wall mounting</w:t>
      </w:r>
    </w:p>
    <w:p>
      <w:pPr>
        <w:pStyle w:val="Heading1"/>
        <w:rPr/>
      </w:pPr>
      <w:bookmarkStart w:id="18" w:name="manual_heading_019"/>
      <w:r>
        <w:rPr>
          <w:rFonts w:eastAsia="Arial Unicode MS" w:cs="Arial" w:ascii="Arial" w:hAnsi="Arial"/>
          <w:color w:val="1E6F9F"/>
          <w:sz w:val="32"/>
        </w:rPr>
        <w:t>12. Gateway Configuration</w:t>
      </w:r>
      <w:bookmarkEnd w:id="18"/>
    </w:p>
    <w:p>
      <w:pPr>
        <w:pStyle w:val="Normal"/>
        <w:rPr/>
      </w:pPr>
      <w:r>
        <w:rPr>
          <w:rFonts w:eastAsia="Arial Unicode MS" w:cs="Arial"/>
          <w:color w:val="243442"/>
          <w:sz w:val="22"/>
        </w:rPr>
        <w:t xml:space="preserve">GD71 is configured and maintained with gwTool7. See the </w:t>
      </w:r>
      <w:hyperlink r:id="rId11">
        <w:r>
          <w:rPr>
            <w:rStyle w:val="Style"/>
            <w:rFonts w:eastAsia="Arial Unicode MS"/>
            <w:color w:val="1E6F9F"/>
            <w:u w:val="single"/>
          </w:rPr>
          <w:t>gwTool7 Gateway Administrator Manual</w:t>
        </w:r>
      </w:hyperlink>
      <w:r>
        <w:rPr>
          <w:rFonts w:eastAsia="Arial Unicode MS" w:cs="Arial"/>
          <w:color w:val="243442"/>
          <w:sz w:val="22"/>
        </w:rPr>
        <w:t>.</w:t>
      </w:r>
    </w:p>
    <w:p>
      <w:pPr>
        <w:pStyle w:val="Heading1"/>
        <w:rPr/>
      </w:pPr>
      <w:bookmarkStart w:id="19" w:name="manual_heading_020"/>
      <w:r>
        <w:rPr>
          <w:rFonts w:eastAsia="Arial Unicode MS" w:cs="Arial" w:ascii="Arial" w:hAnsi="Arial"/>
          <w:color w:val="1E6F9F"/>
          <w:sz w:val="32"/>
        </w:rPr>
        <w:t>13. Platform Connections</w:t>
      </w:r>
      <w:bookmarkEnd w:id="19"/>
    </w:p>
    <w:p>
      <w:pPr>
        <w:pStyle w:val="ListBullet"/>
        <w:numPr>
          <w:ilvl w:val="0"/>
          <w:numId w:val="1"/>
        </w:numPr>
        <w:ind w:hanging="271" w:start="540"/>
        <w:rPr/>
      </w:pPr>
      <w:r>
        <w:rPr>
          <w:rFonts w:eastAsia="Arial Unicode MS" w:cs="Arial"/>
          <w:color w:val="243442"/>
          <w:sz w:val="22"/>
        </w:rPr>
        <w:t xml:space="preserve">ThinkLink: </w:t>
      </w:r>
      <w:hyperlink r:id="rId12">
        <w:r>
          <w:rPr>
            <w:rStyle w:val="Style"/>
            <w:rFonts w:eastAsia="Arial Unicode MS"/>
            <w:color w:val="1E6F9F"/>
            <w:u w:val="single"/>
          </w:rPr>
          <w:t>ThinkLink User Guide</w:t>
        </w:r>
      </w:hyperlink>
    </w:p>
    <w:p>
      <w:pPr>
        <w:pStyle w:val="ListBullet"/>
        <w:numPr>
          <w:ilvl w:val="0"/>
          <w:numId w:val="1"/>
        </w:numPr>
        <w:ind w:hanging="271" w:start="540"/>
        <w:rPr/>
      </w:pPr>
      <w:r>
        <w:rPr>
          <w:rFonts w:eastAsia="Arial Unicode MS" w:cs="Arial"/>
          <w:color w:val="243442"/>
          <w:sz w:val="22"/>
        </w:rPr>
        <w:t xml:space="preserve">ChirpStack: </w:t>
      </w:r>
      <w:hyperlink r:id="rId13">
        <w:r>
          <w:rPr>
            <w:rStyle w:val="Style"/>
            <w:rFonts w:eastAsia="Arial Unicode MS"/>
            <w:color w:val="1E6F9F"/>
            <w:u w:val="single"/>
          </w:rPr>
          <w:t>Connect with Basic Station (gwTool7)</w:t>
        </w:r>
      </w:hyperlink>
    </w:p>
    <w:p>
      <w:pPr>
        <w:pStyle w:val="ListBullet"/>
        <w:numPr>
          <w:ilvl w:val="0"/>
          <w:numId w:val="1"/>
        </w:numPr>
        <w:ind w:hanging="271" w:start="540"/>
        <w:rPr/>
      </w:pPr>
      <w:r>
        <w:rPr>
          <w:rFonts w:eastAsia="Arial Unicode MS" w:cs="Arial"/>
          <w:color w:val="243442"/>
          <w:sz w:val="22"/>
        </w:rPr>
        <w:t xml:space="preserve">TTN: </w:t>
      </w:r>
      <w:hyperlink r:id="rId14">
        <w:r>
          <w:rPr>
            <w:rStyle w:val="Style"/>
            <w:rFonts w:eastAsia="Arial Unicode MS"/>
            <w:color w:val="1E6F9F"/>
            <w:u w:val="single"/>
          </w:rPr>
          <w:t>Connect with Basic Station (gwTool7)</w:t>
        </w:r>
      </w:hyperlink>
    </w:p>
    <w:p>
      <w:pPr>
        <w:pStyle w:val="Heading1"/>
        <w:rPr/>
      </w:pPr>
      <w:bookmarkStart w:id="20" w:name="manual_heading_021"/>
      <w:r>
        <w:rPr>
          <w:rFonts w:eastAsia="Arial Unicode MS" w:cs="Arial" w:ascii="Arial" w:hAnsi="Arial"/>
          <w:color w:val="1E6F9F"/>
          <w:sz w:val="32"/>
        </w:rPr>
        <w:t>14. Security Configuration Recommendations</w:t>
      </w:r>
      <w:bookmarkEnd w:id="20"/>
    </w:p>
    <w:p>
      <w:pPr>
        <w:pStyle w:val="ListBullet"/>
        <w:numPr>
          <w:ilvl w:val="0"/>
          <w:numId w:val="1"/>
        </w:numPr>
        <w:ind w:hanging="271" w:start="540"/>
        <w:rPr/>
      </w:pPr>
      <w:r>
        <w:rPr>
          <w:rFonts w:eastAsia="Arial Unicode MS" w:cs="Arial"/>
          <w:color w:val="243442"/>
          <w:sz w:val="22"/>
        </w:rPr>
        <w:t>Change default administrative credentials during initial deployment and restrict management access to trusted networks.</w:t>
      </w:r>
    </w:p>
    <w:p>
      <w:pPr>
        <w:pStyle w:val="ListBullet"/>
        <w:numPr>
          <w:ilvl w:val="0"/>
          <w:numId w:val="1"/>
        </w:numPr>
        <w:ind w:hanging="271" w:start="540"/>
        <w:rPr/>
      </w:pPr>
      <w:r>
        <w:rPr>
          <w:rFonts w:eastAsia="Arial Unicode MS" w:cs="Arial"/>
          <w:color w:val="243442"/>
          <w:sz w:val="22"/>
        </w:rPr>
        <w:t>Enable the firewall or ACL and disable unnecessary services and ports.</w:t>
      </w:r>
    </w:p>
    <w:p>
      <w:pPr>
        <w:pStyle w:val="ListBullet"/>
        <w:numPr>
          <w:ilvl w:val="0"/>
          <w:numId w:val="1"/>
        </w:numPr>
        <w:ind w:hanging="271" w:start="540"/>
        <w:rPr/>
      </w:pPr>
      <w:r>
        <w:rPr>
          <w:rFonts w:eastAsia="Arial Unicode MS" w:cs="Arial"/>
          <w:color w:val="243442"/>
          <w:sz w:val="22"/>
        </w:rPr>
        <w:t>Use a prevailing TLS version and disable unsafe SSH/TLS cipher suites.</w:t>
      </w:r>
    </w:p>
    <w:p>
      <w:pPr>
        <w:pStyle w:val="ListBullet"/>
        <w:numPr>
          <w:ilvl w:val="0"/>
          <w:numId w:val="1"/>
        </w:numPr>
        <w:ind w:hanging="271" w:start="540"/>
        <w:rPr/>
      </w:pPr>
      <w:r>
        <w:rPr>
          <w:rFonts w:eastAsia="Arial Unicode MS" w:cs="Arial"/>
          <w:color w:val="243442"/>
          <w:sz w:val="22"/>
        </w:rPr>
        <w:t>Retain audit records for remote upgrades, configuration changes and administrator operations.</w:t>
      </w:r>
    </w:p>
    <w:p>
      <w:pPr>
        <w:pStyle w:val="ListBullet"/>
        <w:numPr>
          <w:ilvl w:val="0"/>
          <w:numId w:val="1"/>
        </w:numPr>
        <w:ind w:hanging="271" w:start="540"/>
        <w:rPr/>
      </w:pPr>
      <w:r>
        <w:rPr>
          <w:rFonts w:eastAsia="Arial Unicode MS" w:cs="Arial"/>
          <w:color w:val="243442"/>
          <w:sz w:val="22"/>
        </w:rPr>
        <w:t>Regularly review CPU, memory, storage, network and LoRa communication-quality alarms.</w:t>
      </w:r>
    </w:p>
    <w:p>
      <w:pPr>
        <w:pStyle w:val="Normal"/>
        <w:rPr/>
      </w:pPr>
      <w:r>
        <w:rPr>
          <w:rFonts w:eastAsia="Arial Unicode MS" w:cs="Arial"/>
          <w:b/>
          <w:color w:val="243442"/>
          <w:sz w:val="22"/>
        </w:rPr>
        <w:t>Contact Us</w:t>
      </w:r>
    </w:p>
    <w:p>
      <w:pPr>
        <w:pStyle w:val="Normal"/>
        <w:rPr/>
      </w:pPr>
      <w:r>
        <w:rPr>
          <w:rFonts w:eastAsia="Arial Unicode MS" w:cs="Arial"/>
          <w:color w:val="243442"/>
          <w:sz w:val="22"/>
        </w:rPr>
        <w:t xml:space="preserve">Website: </w:t>
      </w:r>
      <w:hyperlink r:id="rId15">
        <w:r>
          <w:rPr>
            <w:rStyle w:val="Style"/>
            <w:rFonts w:eastAsia="Arial Unicode MS"/>
            <w:color w:val="1E6F9F"/>
            <w:u w:val="single"/>
          </w:rPr>
          <w:t>www.manthink.cn</w:t>
        </w:r>
      </w:hyperlink>
    </w:p>
    <w:p>
      <w:pPr>
        <w:pStyle w:val="Normal"/>
        <w:rPr/>
      </w:pPr>
      <w:r>
        <w:rPr>
          <w:rFonts w:eastAsia="Arial Unicode MS" w:cs="Arial"/>
          <w:color w:val="243442"/>
          <w:sz w:val="22"/>
        </w:rPr>
        <w:t xml:space="preserve">Email: </w:t>
      </w:r>
      <w:hyperlink r:id="rId16">
        <w:r>
          <w:rPr>
            <w:rStyle w:val="Style"/>
            <w:rFonts w:eastAsia="Arial Unicode MS"/>
            <w:color w:val="1E6F9F"/>
            <w:u w:val="single"/>
          </w:rPr>
          <w:t>info@manthink.cn</w:t>
        </w:r>
      </w:hyperlink>
    </w:p>
    <w:p>
      <w:pPr>
        <w:pStyle w:val="Normal"/>
        <w:widowControl/>
        <w:bidi w:val="0"/>
        <w:spacing w:lineRule="auto" w:line="300" w:before="0" w:after="120"/>
        <w:jc w:val="start"/>
        <w:rPr/>
      </w:pPr>
      <w:r>
        <w:rPr>
          <w:rFonts w:eastAsia="Arial Unicode MS" w:cs="Arial"/>
          <w:color w:val="243442"/>
          <w:sz w:val="22"/>
        </w:rPr>
        <w:t>Tel: +86-15810684257</w:t>
      </w:r>
    </w:p>
    <w:sectPr>
      <w:headerReference w:type="even" r:id="rId17"/>
      <w:headerReference w:type="default" r:id="rId18"/>
      <w:headerReference w:type="first" r:id="rId19"/>
      <w:footerReference w:type="even" r:id="rId20"/>
      <w:footerReference w:type="default" r:id="rId21"/>
      <w:footerReference w:type="first" r:id="rId22"/>
      <w:type w:val="nextPage"/>
      <w:pgSz w:w="12240" w:h="15840"/>
      <w:pgMar w:left="1440" w:right="1440" w:gutter="0" w:header="708" w:top="1440" w:footer="708" w:bottom="144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1" w:characterSet="utf-8"/>
    <w:family w:val="roman"/>
    <w:pitch w:val="variable"/>
  </w:font>
  <w:font w:name="Arial">
    <w:charset w:val="01" w:characterSet="utf-8"/>
    <w:family w:val="roman"/>
    <w:pitch w:val="variable"/>
  </w:font>
  <w:font w:name="Calibri">
    <w:charset w:val="01" w:characterSet="utf-8"/>
    <w:family w:val="roman"/>
    <w:pitch w:val="variable"/>
  </w:font>
  <w:font w:name="Courier">
    <w:altName w:val="Courier New"/>
    <w:charset w:val="01" w:characterSet="utf-8"/>
    <w:family w:val="roman"/>
    <w:pitch w:val="variable"/>
  </w:font>
  <w:font w:name="Liberation Sans">
    <w:altName w:val="Arial"/>
    <w:charset w:val="01" w:characterSet="utf-8"/>
    <w:family w:val="swiss"/>
    <w:pitch w:val="variable"/>
  </w:font>
  <w:font w:name="Menlo">
    <w:charset w:val="01" w:characterSet="utf-8"/>
    <w:family w:val="roman"/>
    <w:pitch w:val="variable"/>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0"/>
      <w:jc w:val="end"/>
      <w:rPr/>
    </w:pPr>
    <w:r>
      <w:rPr>
        <w:rFonts w:ascii="Arial" w:hAnsi="Arial" w:cs="Arial"/>
        <w:color w:val="607181"/>
        <w:sz w:val="17"/>
      </w:rPr>
      <w:t xml:space="preserve"> </w:t>
    </w:r>
    <w:r>
      <w:rPr>
        <w:rFonts w:ascii="Arial" w:hAnsi="Arial" w:cs="Arial"/>
        <w:color w:val="243442"/>
        <w:sz w:val="22"/>
      </w:rPr>
      <w:fldChar w:fldCharType="begin"/>
    </w:r>
    <w:r>
      <w:rPr>
        <w:rFonts w:ascii="Arial" w:hAnsi="Arial" w:cs="Arial"/>
        <w:color w:val="243442"/>
        <w:sz w:val="22"/>
      </w:rPr>
      <w:instrText xml:space="preserve"> PAGE </w:instrText>
    </w:r>
    <w:r>
      <w:rPr>
        <w:rFonts w:ascii="Arial" w:hAnsi="Arial" w:cs="Arial"/>
        <w:color w:val="243442"/>
        <w:sz w:val="22"/>
      </w:rPr>
      <w:fldChar w:fldCharType="separate"/>
    </w:r>
    <w:r>
      <w:rPr>
        <w:rFonts w:ascii="Arial" w:hAnsi="Arial" w:cs="Arial"/>
        <w:color w:val="243442"/>
        <w:sz w:val="22"/>
      </w:rPr>
      <w:t>16</w:t>
    </w:r>
    <w:r>
      <w:rPr>
        <w:rFonts w:ascii="Arial" w:hAnsi="Arial" w:cs="Arial"/>
        <w:color w:val="243442"/>
        <w:sz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9360" w:leader="none"/>
      </w:tabs>
      <w:spacing w:before="0" w:after="0"/>
      <w:rPr/>
    </w:pPr>
    <w:r>
      <w:rPr>
        <w:rFonts w:eastAsia="Arial Unicode MS" w:cs="Arial"/>
        <w:b/>
        <w:color w:val="607181"/>
        <w:sz w:val="17"/>
      </w:rPr>
      <w:t>MANTHINK  /  GD71</w:t>
    </w:r>
    <w:r>
      <w:rPr/>
      <w:tab/>
    </w:r>
    <w:r>
      <w:rPr>
        <w:rFonts w:eastAsia="Arial Unicode MS" w:cs="Arial"/>
        <w:color w:val="607181"/>
        <w:sz w:val="16"/>
      </w:rPr>
      <w:t>DEVICE MANUAL</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8">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9">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10">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11">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7"/>
    <w:lvlOverride w:ilvl="0">
      <w:startOverride w:val="1"/>
    </w:lvlOverride>
  </w:num>
  <w:num w:numId="14">
    <w:abstractNumId w:val="7"/>
    <w:lvlOverride w:ilvl="0">
      <w:startOverride w:val="1"/>
    </w:lvlOverride>
  </w:num>
  <w:num w:numId="15">
    <w:abstractNumId w:val="7"/>
    <w:lvlOverride w:ilvl="0">
      <w:startOverride w:val="1"/>
    </w:lvlOverride>
  </w:num>
  <w:num w:numId="16">
    <w:abstractNumId w:val="7"/>
    <w:lvlOverride w:ilvl="0">
      <w:startOverride w:val="1"/>
    </w:lvlOverride>
  </w:num>
  <w:num w:numId="17">
    <w:abstractNumId w:val="7"/>
    <w:lvlOverride w:ilvl="0">
      <w:startOverride w:val="1"/>
    </w:lvlOverride>
  </w:num>
</w:numbering>
</file>

<file path=word/settings.xml><?xml version="1.0" encoding="utf-8"?>
<w:settings xmlns:w="http://schemas.openxmlformats.org/wordprocessingml/2006/main">
  <w:zoom w:percent="13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bidi w:val="0"/>
      <w:spacing w:lineRule="auto" w:line="300" w:before="0" w:after="120"/>
      <w:jc w:val="start"/>
    </w:pPr>
    <w:rPr>
      <w:rFonts w:ascii="Arial" w:hAnsi="Arial" w:eastAsia="Arial Unicode MS" w:cs=""/>
      <w:color w:val="243442"/>
      <w:kern w:val="0"/>
      <w:sz w:val="22"/>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360" w:after="200"/>
      <w:outlineLvl w:val="0"/>
    </w:pPr>
    <w:rPr>
      <w:rFonts w:ascii="Calibri" w:hAnsi="Calibri" w:eastAsia="ＭＳ ゴシック" w:cs="" w:asciiTheme="majorHAnsi" w:cstheme="majorBidi" w:eastAsiaTheme="majorEastAsia" w:hAnsiTheme="majorHAnsi"/>
      <w:b/>
      <w:bCs/>
      <w:color w:val="1E6F9F"/>
      <w:sz w:val="32"/>
      <w:szCs w:val="28"/>
    </w:rPr>
  </w:style>
  <w:style w:type="paragraph" w:styleId="Heading2">
    <w:name w:val="heading 2"/>
    <w:basedOn w:val="Normal"/>
    <w:next w:val="Normal"/>
    <w:link w:val="Heading2Char"/>
    <w:uiPriority w:val="9"/>
    <w:unhideWhenUsed/>
    <w:qFormat/>
    <w:rsid w:val="00fc693f"/>
    <w:pPr>
      <w:keepNext w:val="true"/>
      <w:keepLines/>
      <w:spacing w:before="280" w:after="140"/>
      <w:outlineLvl w:val="1"/>
    </w:pPr>
    <w:rPr>
      <w:rFonts w:ascii="Calibri" w:hAnsi="Calibri" w:eastAsia="ＭＳ ゴシック" w:cs="" w:asciiTheme="majorHAnsi" w:cstheme="majorBidi" w:eastAsiaTheme="majorEastAsia" w:hAnsiTheme="majorHAnsi"/>
      <w:b/>
      <w:bCs/>
      <w:color w:val="1E6F9F"/>
      <w:sz w:val="26"/>
      <w:szCs w:val="26"/>
    </w:rPr>
  </w:style>
  <w:style w:type="paragraph" w:styleId="Heading3">
    <w:name w:val="heading 3"/>
    <w:basedOn w:val="Normal"/>
    <w:next w:val="Normal"/>
    <w:link w:val="Heading3Char"/>
    <w:uiPriority w:val="9"/>
    <w:unhideWhenUsed/>
    <w:qFormat/>
    <w:rsid w:val="00fc693f"/>
    <w:pPr>
      <w:keepNext w:val="true"/>
      <w:keepLines/>
      <w:spacing w:before="200" w:after="100"/>
      <w:outlineLvl w:val="2"/>
    </w:pPr>
    <w:rPr>
      <w:rFonts w:ascii="Calibri" w:hAnsi="Calibri" w:eastAsia="ＭＳ ゴシック" w:cs="" w:asciiTheme="majorHAnsi" w:cstheme="majorBidi" w:eastAsiaTheme="majorEastAsia" w:hAnsiTheme="majorHAnsi"/>
      <w:b/>
      <w:bCs/>
      <w:color w:val="18324A"/>
      <w:sz w:val="24"/>
    </w:rPr>
  </w:style>
  <w:style w:type="paragraph" w:styleId="Heading4">
    <w:name w:val="heading 4"/>
    <w:basedOn w:val="Normal"/>
    <w:next w:val="Normal"/>
    <w:link w:val="Heading4Char"/>
    <w:uiPriority w:val="9"/>
    <w:semiHidden/>
    <w:unhideWhenUsed/>
    <w:qFormat/>
    <w:rsid w:val="00fc693f"/>
    <w:pPr>
      <w:keepNext w:val="true"/>
      <w:keepLines/>
      <w:spacing w:before="160" w:after="80"/>
      <w:outlineLvl w:val="3"/>
    </w:pPr>
    <w:rPr>
      <w:rFonts w:ascii="Calibri" w:hAnsi="Calibri" w:eastAsia="ＭＳ ゴシック" w:cs="" w:asciiTheme="majorHAnsi" w:cstheme="majorBidi" w:eastAsiaTheme="majorEastAsia" w:hAnsiTheme="majorHAnsi"/>
      <w:b/>
      <w:bCs/>
      <w:i/>
      <w:iCs/>
      <w:color w:val="18324A"/>
      <w:sz w:val="22"/>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12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star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12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120"/>
      <w:ind w:hanging="360" w:start="720"/>
      <w:contextualSpacing/>
    </w:pPr>
    <w:rPr/>
  </w:style>
  <w:style w:type="paragraph" w:styleId="List3">
    <w:name w:val="List 3"/>
    <w:basedOn w:val="Normal"/>
    <w:uiPriority w:val="99"/>
    <w:unhideWhenUsed/>
    <w:qFormat/>
    <w:rsid w:val="00326f90"/>
    <w:pPr>
      <w:spacing w:before="0" w:after="120"/>
      <w:ind w:hanging="360" w:start="1080"/>
      <w:contextualSpacing/>
    </w:pPr>
    <w:rPr/>
  </w:style>
  <w:style w:type="paragraph" w:styleId="ListBullet">
    <w:name w:val="List Bullet"/>
    <w:basedOn w:val="Normal"/>
    <w:uiPriority w:val="99"/>
    <w:unhideWhenUsed/>
    <w:rsid w:val="00326f90"/>
    <w:pPr>
      <w:numPr>
        <w:ilvl w:val="0"/>
        <w:numId w:val="1"/>
      </w:numPr>
      <w:spacing w:lineRule="auto" w:line="300" w:before="0" w:after="80"/>
      <w:ind w:hanging="271" w:start="540"/>
      <w:contextualSpacing/>
    </w:pPr>
    <w:rPr>
      <w:rFonts w:ascii="Arial" w:hAnsi="Arial" w:eastAsia="Arial Unicode MS"/>
      <w:sz w:val="22"/>
    </w:rPr>
  </w:style>
  <w:style w:type="paragraph" w:styleId="ListBullet2">
    <w:name w:val="List Bullet 2"/>
    <w:basedOn w:val="Normal"/>
    <w:uiPriority w:val="99"/>
    <w:unhideWhenUsed/>
    <w:rsid w:val="00326f90"/>
    <w:pPr>
      <w:numPr>
        <w:ilvl w:val="0"/>
        <w:numId w:val="2"/>
      </w:numPr>
      <w:spacing w:before="0" w:after="120"/>
      <w:contextualSpacing/>
    </w:pPr>
    <w:rPr/>
  </w:style>
  <w:style w:type="paragraph" w:styleId="ListBullet3">
    <w:name w:val="List Bullet 3"/>
    <w:basedOn w:val="Normal"/>
    <w:uiPriority w:val="99"/>
    <w:unhideWhenUsed/>
    <w:rsid w:val="00326f90"/>
    <w:pPr>
      <w:numPr>
        <w:ilvl w:val="0"/>
        <w:numId w:val="3"/>
      </w:numPr>
      <w:spacing w:before="0" w:after="120"/>
      <w:contextualSpacing/>
    </w:pPr>
    <w:rPr/>
  </w:style>
  <w:style w:type="paragraph" w:styleId="ListNumber">
    <w:name w:val="List Number"/>
    <w:basedOn w:val="Normal"/>
    <w:uiPriority w:val="99"/>
    <w:unhideWhenUsed/>
    <w:rsid w:val="00326f90"/>
    <w:pPr>
      <w:numPr>
        <w:ilvl w:val="0"/>
        <w:numId w:val="4"/>
      </w:numPr>
      <w:spacing w:lineRule="auto" w:line="300" w:before="0" w:after="80"/>
      <w:ind w:hanging="271" w:start="540"/>
      <w:contextualSpacing/>
    </w:pPr>
    <w:rPr>
      <w:rFonts w:ascii="Arial" w:hAnsi="Arial" w:eastAsia="Arial Unicode MS"/>
      <w:sz w:val="22"/>
    </w:rPr>
  </w:style>
  <w:style w:type="paragraph" w:styleId="ListNumber2">
    <w:name w:val="List Number 2"/>
    <w:basedOn w:val="Normal"/>
    <w:uiPriority w:val="99"/>
    <w:unhideWhenUsed/>
    <w:rsid w:val="0029639d"/>
    <w:pPr>
      <w:numPr>
        <w:ilvl w:val="0"/>
        <w:numId w:val="5"/>
      </w:numPr>
      <w:spacing w:before="0" w:after="120"/>
      <w:contextualSpacing/>
    </w:pPr>
    <w:rPr/>
  </w:style>
  <w:style w:type="paragraph" w:styleId="ListNumber3">
    <w:name w:val="List Number 3"/>
    <w:basedOn w:val="Normal"/>
    <w:uiPriority w:val="99"/>
    <w:unhideWhenUsed/>
    <w:rsid w:val="0029639d"/>
    <w:pPr>
      <w:numPr>
        <w:ilvl w:val="0"/>
        <w:numId w:val="6"/>
      </w:numPr>
      <w:spacing w:before="0" w:after="12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star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paragraph" w:styleId="ManualTOC1" w:customStyle="1">
    <w:name w:val="Manual TOC 1"/>
    <w:qFormat/>
    <w:pPr>
      <w:keepLines/>
      <w:widowControl/>
      <w:tabs>
        <w:tab w:val="clear" w:pos="720"/>
        <w:tab w:val="right" w:pos="9144" w:leader="dot"/>
      </w:tabs>
      <w:bidi w:val="0"/>
      <w:spacing w:lineRule="auto" w:line="276" w:before="80" w:after="80"/>
      <w:ind w:start="0" w:end="0"/>
      <w:jc w:val="start"/>
    </w:pPr>
    <w:rPr>
      <w:rFonts w:ascii="Arial" w:hAnsi="Arial" w:eastAsia="Arial Unicode MS" w:cs=""/>
      <w:b/>
      <w:color w:val="18324A"/>
      <w:kern w:val="0"/>
      <w:sz w:val="21"/>
      <w:szCs w:val="22"/>
      <w:lang w:val="en-US" w:eastAsia="en-US" w:bidi="ar-SA"/>
    </w:rPr>
  </w:style>
  <w:style w:type="paragraph" w:styleId="ManualTOC2" w:customStyle="1">
    <w:name w:val="Manual TOC 2"/>
    <w:qFormat/>
    <w:pPr>
      <w:keepLines/>
      <w:widowControl/>
      <w:tabs>
        <w:tab w:val="clear" w:pos="720"/>
        <w:tab w:val="right" w:pos="9144" w:leader="dot"/>
      </w:tabs>
      <w:bidi w:val="0"/>
      <w:spacing w:lineRule="auto" w:line="276" w:before="40" w:after="60"/>
      <w:ind w:start="403" w:end="0"/>
      <w:jc w:val="start"/>
    </w:pPr>
    <w:rPr>
      <w:rFonts w:ascii="Arial" w:hAnsi="Arial" w:eastAsia="Arial Unicode MS" w:cs=""/>
      <w:b w:val="false"/>
      <w:color w:val="607181"/>
      <w:kern w:val="0"/>
      <w:sz w:val="19"/>
      <w:szCs w:val="22"/>
      <w:lang w:val="en-US" w:eastAsia="en-US" w:bidi="ar-SA"/>
    </w:rPr>
  </w:style>
  <w:style w:type="paragraph" w:styleId="ManualTOC3" w:customStyle="1">
    <w:name w:val="Manual TOC 3"/>
    <w:qFormat/>
    <w:pPr>
      <w:keepLines/>
      <w:widowControl/>
      <w:tabs>
        <w:tab w:val="clear" w:pos="720"/>
        <w:tab w:val="right" w:pos="9144" w:leader="dot"/>
      </w:tabs>
      <w:bidi w:val="0"/>
      <w:spacing w:lineRule="auto" w:line="276" w:before="20" w:after="60"/>
      <w:ind w:start="749" w:end="0"/>
      <w:jc w:val="start"/>
    </w:pPr>
    <w:rPr>
      <w:rFonts w:ascii="Arial" w:hAnsi="Arial" w:eastAsia="Arial Unicode MS" w:cs=""/>
      <w:b w:val="false"/>
      <w:color w:val="607181"/>
      <w:kern w:val="0"/>
      <w:sz w:val="18"/>
      <w:szCs w:val="22"/>
      <w:lang w:val="en-US" w:eastAsia="en-US" w:bidi="ar-SA"/>
    </w:rPr>
  </w:style>
  <w:style w:type="paragraph" w:styleId="CodeBlock" w:customStyle="1">
    <w:name w:val="Code Block"/>
    <w:qFormat/>
    <w:pPr>
      <w:widowControl/>
      <w:shd w:fill="F0F4F6" w:val="clear"/>
      <w:bidi w:val="0"/>
      <w:spacing w:lineRule="auto" w:line="276" w:before="100" w:after="140"/>
      <w:ind w:start="259" w:end="259"/>
      <w:jc w:val="start"/>
    </w:pPr>
    <w:rPr>
      <w:rFonts w:ascii="Menlo" w:hAnsi="Menlo" w:eastAsia="Arial Unicode MS" w:cs=""/>
      <w:color w:val="18324A"/>
      <w:kern w:val="0"/>
      <w:sz w:val="18"/>
      <w:szCs w:val="22"/>
      <w:lang w:val="en-US" w:eastAsia="en-US" w:bidi="ar-SA"/>
    </w:rPr>
  </w:style>
  <w:style w:type="paragraph" w:styleId="FigureCaption" w:customStyle="1">
    <w:name w:val="Figure Caption"/>
    <w:qFormat/>
    <w:pPr>
      <w:widowControl/>
      <w:bidi w:val="0"/>
      <w:spacing w:lineRule="auto" w:line="276" w:before="60" w:after="160"/>
      <w:jc w:val="center"/>
    </w:pPr>
    <w:rPr>
      <w:rFonts w:ascii="Arial" w:hAnsi="Arial" w:eastAsia="Arial Unicode MS" w:cs=""/>
      <w:color w:val="607181"/>
      <w:kern w:val="0"/>
      <w:sz w:val="17"/>
      <w:szCs w:val="22"/>
      <w:lang w:val="en-US"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jpeg"/><Relationship Id="rId11" Type="http://schemas.openxmlformats.org/officeDocument/2006/relationships/hyperlink" Target="https://think-link.net/docs/en/Device/LoRaWANGateway/gwtool7-administrator-guide" TargetMode="External"/><Relationship Id="rId12" Type="http://schemas.openxmlformats.org/officeDocument/2006/relationships/hyperlink" Target="https://think-link.net/docs/en/QuickStart/ThinkLinkIntroduction" TargetMode="External"/><Relationship Id="rId13" Type="http://schemas.openxmlformats.org/officeDocument/2006/relationships/hyperlink" Target="https://think-link.net/docs/en/Device/LoRaWANGateway/gwtool-chirpstack-basic-station" TargetMode="External"/><Relationship Id="rId14" Type="http://schemas.openxmlformats.org/officeDocument/2006/relationships/hyperlink" Target="https://think-link.net/docs/en/Device/LoRaWANGateway/gwtool-ttn-basic-station" TargetMode="External"/><Relationship Id="rId15" Type="http://schemas.openxmlformats.org/officeDocument/2006/relationships/hyperlink" Target="https://www.manthink.cn/" TargetMode="External"/><Relationship Id="rId16" Type="http://schemas.openxmlformats.org/officeDocument/2006/relationships/hyperlink" Target="mailto:info@manthink.cn" TargetMode="Externa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header" Target="header3.xm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footer" Target="footer3.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Relationship Id="rId2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LibreOffice/26.2.5.2$MacOSX_X86_64 LibreOffice_project/cd7284b4cbbfeb507e630c1aac019f4157393acb</Application>
  <AppVersion>15.0000</AppVersion>
  <Pages>1</Pages>
  <Words>0</Words>
  <Characters>0</Characters>
  <CharactersWithSpaces>0</CharactersWithSpaces>
  <Paragraphs>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
  <dc:description>generated by python-docx</dc:description>
  <cp:keywords>ManThink ThinkLink LoRaWAN</cp:keywords>
  <dc:language>zh-CN</dc:language>
  <cp:lastModifiedBy/>
  <dcterms:modified xsi:type="dcterms:W3CDTF">2013-12-23T23:15:00Z</dcterms:modified>
  <cp:revision>1</cp:revision>
  <dc:subject>ManThink device manual</dc:subject>
  <dc:title>GD71 Indoor LoRaWAN Gateway Manual</dc:title>
</cp:coreProperties>
</file>

<file path=docProps/custom.xml><?xml version="1.0" encoding="utf-8"?>
<Properties xmlns="http://schemas.openxmlformats.org/officeDocument/2006/custom-properties" xmlns:vt="http://schemas.openxmlformats.org/officeDocument/2006/docPropsVTypes"/>
</file>