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40" w:after="680"/>
        <w:rPr/>
      </w:pPr>
      <w:r>
        <w:rPr>
          <w:rFonts w:eastAsia="Arial Unicode MS" w:cs="Arial"/>
          <w:b/>
          <w:color w:val="2CA6A4"/>
          <w:sz w:val="19"/>
        </w:rPr>
        <w:t>MANTHINK  /  INDUSTRIAL IoT</w:t>
      </w:r>
    </w:p>
    <w:p>
      <w:pPr>
        <w:pStyle w:val="Normal"/>
        <w:spacing w:before="0" w:after="40"/>
        <w:rPr/>
      </w:pPr>
      <w:r>
        <w:rPr>
          <w:rFonts w:eastAsia="Arial Unicode MS" w:cs="Arial"/>
          <w:b/>
          <w:color w:val="18324A"/>
          <w:sz w:val="68"/>
        </w:rPr>
        <w:t>GD72</w:t>
      </w:r>
    </w:p>
    <w:p>
      <w:pPr>
        <w:pStyle w:val="Normal"/>
        <w:spacing w:before="0" w:after="80"/>
        <w:rPr/>
      </w:pPr>
      <w:r>
        <w:rPr>
          <w:rFonts w:eastAsia="Arial Unicode MS" w:cs="Arial"/>
          <w:b/>
          <w:color w:val="243442"/>
          <w:sz w:val="34"/>
        </w:rPr>
        <w:t>LoRaWAN Gateway</w:t>
      </w:r>
    </w:p>
    <w:p>
      <w:pPr>
        <w:pStyle w:val="Normal"/>
        <w:spacing w:before="0" w:after="360"/>
        <w:rPr/>
      </w:pPr>
      <w:r>
        <w:rPr>
          <w:rFonts w:eastAsia="Arial Unicode MS" w:cs="Arial"/>
          <w:color w:val="607181"/>
          <w:sz w:val="23"/>
        </w:rPr>
        <w:t>Standardized Device Manual</w:t>
      </w:r>
    </w:p>
    <w:p>
      <w:pPr>
        <w:pStyle w:val="Normal"/>
        <w:spacing w:before="0" w:after="320"/>
        <w:jc w:val="center"/>
        <w:rPr/>
      </w:pPr>
      <w:r>
        <w:rPr/>
        <w:drawing>
          <wp:inline distT="0" distB="0" distL="0" distR="0">
            <wp:extent cx="4297680" cy="4297680"/>
            <wp:effectExtent l="0" t="0" r="0" b="0"/>
            <wp:docPr id="1" name="Picture 1" descr="GD72 Outdoor LoRaWAN Gateway User Manual" title="GD72 Outdoor LoRaWAN Gateway User Man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D72 Outdoor LoRaWAN Gateway User Manual" title="GD72 Outdoor LoRaWAN Gateway User Manual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429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4680"/>
        <w:gridCol w:w="4680"/>
      </w:tblGrid>
      <w:tr>
        <w:trPr>
          <w:cantSplit/>
        </w:trPr>
        <w:tc>
          <w:tcPr>
            <w:tcW w:w="4680" w:type="dxa"/>
            <w:tcBorders>
              <w:top w:val="nil"/>
              <w:start w:val="nil"/>
              <w:bottom w:val="nil"/>
              <w:end w:val="nil"/>
            </w:tcBorders>
            <w:shd w:fill="E8F1F6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607181"/>
                <w:kern w:val="0"/>
                <w:sz w:val="16"/>
                <w:szCs w:val="22"/>
                <w:lang w:val="en-US" w:eastAsia="en-US" w:bidi="ar-SA"/>
              </w:rPr>
              <w:t>VERSION</w:t>
              <w:br/>
            </w:r>
            <w:r>
              <w:rPr>
                <w:rFonts w:eastAsia="Arial Unicode MS" w:cs="Arial"/>
                <w:b/>
                <w:color w:val="18324A"/>
                <w:kern w:val="0"/>
                <w:sz w:val="22"/>
                <w:szCs w:val="22"/>
                <w:lang w:val="en-US" w:eastAsia="en-US" w:bidi="ar-SA"/>
              </w:rPr>
              <w:t>Current</w:t>
            </w:r>
          </w:p>
        </w:tc>
        <w:tc>
          <w:tcPr>
            <w:tcW w:w="4680" w:type="dxa"/>
            <w:tcBorders>
              <w:top w:val="nil"/>
              <w:start w:val="nil"/>
              <w:bottom w:val="nil"/>
              <w:end w:val="nil"/>
            </w:tcBorders>
            <w:shd w:fill="E8F1F6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607181"/>
                <w:kern w:val="0"/>
                <w:sz w:val="16"/>
                <w:szCs w:val="22"/>
                <w:lang w:val="en-US" w:eastAsia="en-US" w:bidi="ar-SA"/>
              </w:rPr>
              <w:t>DOCUMENT</w:t>
              <w:br/>
            </w:r>
            <w:r>
              <w:rPr>
                <w:rFonts w:eastAsia="Arial Unicode MS" w:cs="Arial"/>
                <w:b/>
                <w:color w:val="18324A"/>
                <w:kern w:val="0"/>
                <w:sz w:val="22"/>
                <w:szCs w:val="22"/>
                <w:lang w:val="en-US" w:eastAsia="en-US" w:bidi="ar-SA"/>
              </w:rPr>
              <w:t>Device Manual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before="0" w:after="480"/>
        <w:rPr/>
      </w:pPr>
      <w:r>
        <w:rPr>
          <w:rFonts w:eastAsia="Arial Unicode MS" w:cs="Arial"/>
          <w:b/>
          <w:color w:val="18324A"/>
          <w:sz w:val="48"/>
        </w:rPr>
        <w:t>Revision History</w:t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399"/>
        <w:gridCol w:w="6961"/>
      </w:tblGrid>
      <w:tr>
        <w:trPr>
          <w:tblHeader w:val="true"/>
          <w:cantSplit/>
        </w:trPr>
        <w:tc>
          <w:tcPr>
            <w:tcW w:w="2399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20"/>
                <w:szCs w:val="22"/>
                <w:lang w:val="en-US" w:eastAsia="en-US" w:bidi="ar-SA"/>
              </w:rPr>
              <w:t>Version</w:t>
            </w:r>
          </w:p>
        </w:tc>
        <w:tc>
          <w:tcPr>
            <w:tcW w:w="6961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20"/>
                <w:szCs w:val="22"/>
                <w:lang w:val="en-US" w:eastAsia="en-US" w:bidi="ar-SA"/>
              </w:rPr>
              <w:t>Change Description</w:t>
            </w:r>
          </w:p>
        </w:tc>
      </w:tr>
      <w:tr>
        <w:trPr>
          <w:cantSplit/>
        </w:trPr>
        <w:tc>
          <w:tcPr>
            <w:tcW w:w="239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 w:val="false"/>
                <w:color w:val="243442"/>
                <w:kern w:val="0"/>
                <w:sz w:val="20"/>
                <w:szCs w:val="22"/>
                <w:lang w:val="en-US" w:eastAsia="en-US" w:bidi="ar-SA"/>
              </w:rPr>
              <w:t>Current</w:t>
            </w:r>
          </w:p>
        </w:tc>
        <w:tc>
          <w:tcPr>
            <w:tcW w:w="696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 w:val="false"/>
                <w:color w:val="243442"/>
                <w:kern w:val="0"/>
                <w:sz w:val="20"/>
                <w:szCs w:val="22"/>
                <w:lang w:val="en-US" w:eastAsia="en-US" w:bidi="ar-SA"/>
              </w:rPr>
              <w:t>Current published version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before="0" w:after="100"/>
        <w:rPr/>
      </w:pPr>
      <w:r>
        <w:rPr>
          <w:rFonts w:eastAsia="Arial Unicode MS" w:cs="Arial"/>
          <w:b/>
          <w:color w:val="2CA6A4"/>
          <w:sz w:val="17"/>
        </w:rPr>
        <w:t>DOCUMENT NAVIGATION</w:t>
      </w:r>
    </w:p>
    <w:p>
      <w:pPr>
        <w:pStyle w:val="Normal"/>
        <w:pBdr>
          <w:bottom w:val="single" w:sz="12" w:space="6" w:color="2CA6A4"/>
        </w:pBdr>
        <w:spacing w:before="0" w:after="400"/>
        <w:rPr/>
      </w:pPr>
      <w:r>
        <w:rPr>
          <w:rFonts w:eastAsia="Arial Unicode MS" w:cs="Arial"/>
          <w:b/>
          <w:color w:val="18324A"/>
          <w:sz w:val="48"/>
        </w:rPr>
        <w:t>Contents</w:t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1. Product Description</w:t>
      </w:r>
      <w:r>
        <w:rPr/>
        <w:tab/>
      </w:r>
      <w:r>
        <w:rPr/>
        <w:fldChar w:fldCharType="begin"/>
      </w:r>
      <w:r>
        <w:rPr/>
        <w:instrText xml:space="preserve"> PAGEREF manual_heading_001 \h </w:instrText>
      </w:r>
      <w:r>
        <w:rPr/>
        <w:fldChar w:fldCharType="separate"/>
      </w:r>
      <w:r>
        <w:rPr/>
        <w:t>5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2. Main Features</w:t>
      </w:r>
      <w:r>
        <w:rPr/>
        <w:tab/>
      </w:r>
      <w:r>
        <w:rPr/>
        <w:fldChar w:fldCharType="begin"/>
      </w:r>
      <w:r>
        <w:rPr/>
        <w:instrText xml:space="preserve"> PAGEREF manual_heading_002 \h </w:instrText>
      </w:r>
      <w:r>
        <w:rPr/>
        <w:fldChar w:fldCharType="separate"/>
      </w:r>
      <w:r>
        <w:rPr/>
        <w:t>5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3. Technical Specifications</w:t>
      </w:r>
      <w:r>
        <w:rPr/>
        <w:tab/>
      </w:r>
      <w:r>
        <w:rPr/>
        <w:fldChar w:fldCharType="begin"/>
      </w:r>
      <w:r>
        <w:rPr/>
        <w:instrText xml:space="preserve"> PAGEREF manual_heading_003 \h </w:instrText>
      </w:r>
      <w:r>
        <w:rPr/>
        <w:fldChar w:fldCharType="separate"/>
      </w:r>
      <w:r>
        <w:rPr/>
        <w:t>6</w:t>
      </w:r>
      <w:r>
        <w:rPr/>
        <w:fldChar w:fldCharType="end"/>
      </w:r>
    </w:p>
    <w:p>
      <w:pPr>
        <w:pStyle w:val="ManualTOC2"/>
        <w:rPr/>
      </w:pPr>
      <w:r>
        <w:rPr>
          <w:rFonts w:eastAsia="Arial Unicode MS" w:cs="Arial"/>
          <w:b w:val="false"/>
          <w:color w:val="607181"/>
          <w:sz w:val="19"/>
        </w:rPr>
        <w:t>3.1 Environment and Enclosure</w:t>
      </w:r>
      <w:r>
        <w:rPr/>
        <w:tab/>
      </w:r>
      <w:r>
        <w:rPr/>
        <w:fldChar w:fldCharType="begin"/>
      </w:r>
      <w:r>
        <w:rPr/>
        <w:instrText xml:space="preserve"> PAGEREF manual_heading_004 \h </w:instrText>
      </w:r>
      <w:r>
        <w:rPr/>
        <w:fldChar w:fldCharType="separate"/>
      </w:r>
      <w:r>
        <w:rPr/>
        <w:t>9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4. Accessories</w:t>
      </w:r>
      <w:r>
        <w:rPr/>
        <w:tab/>
      </w:r>
      <w:r>
        <w:rPr/>
        <w:fldChar w:fldCharType="begin"/>
      </w:r>
      <w:r>
        <w:rPr/>
        <w:instrText xml:space="preserve"> PAGEREF manual_heading_005 \h </w:instrText>
      </w:r>
      <w:r>
        <w:rPr/>
        <w:fldChar w:fldCharType="separate"/>
      </w:r>
      <w:r>
        <w:rPr/>
        <w:t>9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5. Gateway Body</w:t>
      </w:r>
      <w:r>
        <w:rPr/>
        <w:tab/>
      </w:r>
      <w:r>
        <w:rPr/>
        <w:fldChar w:fldCharType="begin"/>
      </w:r>
      <w:r>
        <w:rPr/>
        <w:instrText xml:space="preserve"> PAGEREF manual_heading_006 \h </w:instrText>
      </w:r>
      <w:r>
        <w:rPr/>
        <w:fldChar w:fldCharType="separate"/>
      </w:r>
      <w:r>
        <w:rPr/>
        <w:t>10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6. Product Dimensions</w:t>
      </w:r>
      <w:r>
        <w:rPr/>
        <w:tab/>
      </w:r>
      <w:r>
        <w:rPr/>
        <w:fldChar w:fldCharType="begin"/>
      </w:r>
      <w:r>
        <w:rPr/>
        <w:instrText xml:space="preserve"> PAGEREF manual_heading_007 \h </w:instrText>
      </w:r>
      <w:r>
        <w:rPr/>
        <w:fldChar w:fldCharType="separate"/>
      </w:r>
      <w:r>
        <w:rPr/>
        <w:t>10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7. Interface Description</w:t>
      </w:r>
      <w:r>
        <w:rPr/>
        <w:tab/>
      </w:r>
      <w:r>
        <w:rPr/>
        <w:fldChar w:fldCharType="begin"/>
      </w:r>
      <w:r>
        <w:rPr/>
        <w:instrText xml:space="preserve"> PAGEREF manual_heading_008 \h </w:instrText>
      </w:r>
      <w:r>
        <w:rPr/>
        <w:fldChar w:fldCharType="separate"/>
      </w:r>
      <w:r>
        <w:rPr/>
        <w:t>10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8. Indicator Description</w:t>
      </w:r>
      <w:r>
        <w:rPr/>
        <w:tab/>
      </w:r>
      <w:r>
        <w:rPr/>
        <w:fldChar w:fldCharType="begin"/>
      </w:r>
      <w:r>
        <w:rPr/>
        <w:instrText xml:space="preserve"> PAGEREF manual_heading_009 \h </w:instrText>
      </w:r>
      <w:r>
        <w:rPr/>
        <w:fldChar w:fldCharType="separate"/>
      </w:r>
      <w:r>
        <w:rPr/>
        <w:t>10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9. Product Model</w:t>
      </w:r>
      <w:r>
        <w:rPr/>
        <w:tab/>
      </w:r>
      <w:r>
        <w:rPr/>
        <w:fldChar w:fldCharType="begin"/>
      </w:r>
      <w:r>
        <w:rPr/>
        <w:instrText xml:space="preserve"> PAGEREF manual_heading_010 \h </w:instrText>
      </w:r>
      <w:r>
        <w:rPr/>
        <w:fldChar w:fldCharType="separate"/>
      </w:r>
      <w:r>
        <w:rPr/>
        <w:t>11</w:t>
      </w:r>
      <w:r>
        <w:rPr/>
        <w:fldChar w:fldCharType="end"/>
      </w:r>
    </w:p>
    <w:p>
      <w:pPr>
        <w:pStyle w:val="ManualTOC2"/>
        <w:rPr/>
      </w:pPr>
      <w:r>
        <w:rPr>
          <w:rFonts w:eastAsia="Arial Unicode MS" w:cs="Arial"/>
          <w:b w:val="false"/>
          <w:color w:val="607181"/>
          <w:sz w:val="19"/>
        </w:rPr>
        <w:t>9.1 Standard Model</w:t>
      </w:r>
      <w:r>
        <w:rPr/>
        <w:tab/>
      </w:r>
      <w:r>
        <w:rPr/>
        <w:fldChar w:fldCharType="begin"/>
      </w:r>
      <w:r>
        <w:rPr/>
        <w:instrText xml:space="preserve"> PAGEREF manual_heading_011 \h </w:instrText>
      </w:r>
      <w:r>
        <w:rPr/>
        <w:fldChar w:fldCharType="separate"/>
      </w:r>
      <w:r>
        <w:rPr/>
        <w:t>11</w:t>
      </w:r>
      <w:r>
        <w:rPr/>
        <w:fldChar w:fldCharType="end"/>
      </w:r>
    </w:p>
    <w:p>
      <w:pPr>
        <w:pStyle w:val="ManualTOC2"/>
        <w:rPr/>
      </w:pPr>
      <w:r>
        <w:rPr>
          <w:rFonts w:eastAsia="Arial Unicode MS" w:cs="Arial"/>
          <w:b w:val="false"/>
          <w:color w:val="607181"/>
          <w:sz w:val="19"/>
        </w:rPr>
        <w:t>9.2 Model Components</w:t>
      </w:r>
      <w:r>
        <w:rPr/>
        <w:tab/>
      </w:r>
      <w:r>
        <w:rPr/>
        <w:fldChar w:fldCharType="begin"/>
      </w:r>
      <w:r>
        <w:rPr/>
        <w:instrText xml:space="preserve"> PAGEREF manual_heading_012 \h </w:instrText>
      </w:r>
      <w:r>
        <w:rPr/>
        <w:fldChar w:fldCharType="separate"/>
      </w:r>
      <w:r>
        <w:rPr/>
        <w:t>11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10. Gateway Installation</w:t>
      </w:r>
      <w:r>
        <w:rPr/>
        <w:tab/>
      </w:r>
      <w:r>
        <w:rPr/>
        <w:fldChar w:fldCharType="begin"/>
      </w:r>
      <w:r>
        <w:rPr/>
        <w:instrText xml:space="preserve"> PAGEREF manual_heading_013 \h </w:instrText>
      </w:r>
      <w:r>
        <w:rPr/>
        <w:fldChar w:fldCharType="separate"/>
      </w:r>
      <w:r>
        <w:rPr/>
        <w:t>12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11. Installation Direction</w:t>
      </w:r>
      <w:r>
        <w:rPr/>
        <w:tab/>
      </w:r>
      <w:r>
        <w:rPr/>
        <w:fldChar w:fldCharType="begin"/>
      </w:r>
      <w:r>
        <w:rPr/>
        <w:instrText xml:space="preserve"> PAGEREF manual_heading_014 \h </w:instrText>
      </w:r>
      <w:r>
        <w:rPr/>
        <w:fldChar w:fldCharType="separate"/>
      </w:r>
      <w:r>
        <w:rPr/>
        <w:t>12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12. Backplate Installation</w:t>
      </w:r>
      <w:r>
        <w:rPr/>
        <w:tab/>
      </w:r>
      <w:r>
        <w:rPr/>
        <w:fldChar w:fldCharType="begin"/>
      </w:r>
      <w:r>
        <w:rPr/>
        <w:instrText xml:space="preserve"> PAGEREF manual_heading_015 \h </w:instrText>
      </w:r>
      <w:r>
        <w:rPr/>
        <w:fldChar w:fldCharType="separate"/>
      </w:r>
      <w:r>
        <w:rPr/>
        <w:t>12</w:t>
      </w:r>
      <w:r>
        <w:rPr/>
        <w:fldChar w:fldCharType="end"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before="0" w:after="100"/>
        <w:rPr/>
      </w:pPr>
      <w:r>
        <w:rPr>
          <w:rFonts w:eastAsia="Arial Unicode MS" w:cs="Arial"/>
          <w:b/>
          <w:color w:val="2CA6A4"/>
          <w:sz w:val="17"/>
        </w:rPr>
        <w:t>DOCUMENT NAVIGATION</w:t>
      </w:r>
    </w:p>
    <w:p>
      <w:pPr>
        <w:pStyle w:val="Normal"/>
        <w:pBdr>
          <w:bottom w:val="single" w:sz="12" w:space="6" w:color="2CA6A4"/>
        </w:pBdr>
        <w:spacing w:before="0" w:after="400"/>
        <w:rPr/>
      </w:pPr>
      <w:r>
        <w:rPr>
          <w:rFonts w:eastAsia="Arial Unicode MS" w:cs="Arial"/>
          <w:b/>
          <w:color w:val="18324A"/>
          <w:sz w:val="44"/>
        </w:rPr>
        <w:t>Contents continued</w:t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13. Network Cable Installation</w:t>
      </w:r>
      <w:r>
        <w:rPr/>
        <w:tab/>
      </w:r>
      <w:r>
        <w:rPr/>
        <w:fldChar w:fldCharType="begin"/>
      </w:r>
      <w:r>
        <w:rPr/>
        <w:instrText xml:space="preserve"> PAGEREF manual_heading_016 \h </w:instrText>
      </w:r>
      <w:r>
        <w:rPr/>
        <w:fldChar w:fldCharType="separate"/>
      </w:r>
      <w:r>
        <w:rPr/>
        <w:t>13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14. SIM Card Installation</w:t>
      </w:r>
      <w:r>
        <w:rPr/>
        <w:tab/>
      </w:r>
      <w:r>
        <w:rPr/>
        <w:fldChar w:fldCharType="begin"/>
      </w:r>
      <w:r>
        <w:rPr/>
        <w:instrText xml:space="preserve"> PAGEREF manual_heading_017 \h </w:instrText>
      </w:r>
      <w:r>
        <w:rPr/>
        <w:fldChar w:fldCharType="separate"/>
      </w:r>
      <w:r>
        <w:rPr/>
        <w:t>14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15. Power Connection</w:t>
      </w:r>
      <w:r>
        <w:rPr/>
        <w:tab/>
      </w:r>
      <w:r>
        <w:rPr/>
        <w:fldChar w:fldCharType="begin"/>
      </w:r>
      <w:r>
        <w:rPr/>
        <w:instrText xml:space="preserve"> PAGEREF manual_heading_018 \h </w:instrText>
      </w:r>
      <w:r>
        <w:rPr/>
        <w:fldChar w:fldCharType="separate"/>
      </w:r>
      <w:r>
        <w:rPr/>
        <w:t>15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16. Antenna Installation</w:t>
      </w:r>
      <w:r>
        <w:rPr/>
        <w:tab/>
      </w:r>
      <w:r>
        <w:rPr/>
        <w:fldChar w:fldCharType="begin"/>
      </w:r>
      <w:r>
        <w:rPr/>
        <w:instrText xml:space="preserve"> PAGEREF manual_heading_019 \h </w:instrText>
      </w:r>
      <w:r>
        <w:rPr/>
        <w:fldChar w:fldCharType="separate"/>
      </w:r>
      <w:r>
        <w:rPr/>
        <w:t>16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17. Gateway Mounting</w:t>
      </w:r>
      <w:r>
        <w:rPr/>
        <w:tab/>
      </w:r>
      <w:r>
        <w:rPr/>
        <w:fldChar w:fldCharType="begin"/>
      </w:r>
      <w:r>
        <w:rPr/>
        <w:instrText xml:space="preserve"> PAGEREF manual_heading_020 \h </w:instrText>
      </w:r>
      <w:r>
        <w:rPr/>
        <w:fldChar w:fldCharType="separate"/>
      </w:r>
      <w:r>
        <w:rPr/>
        <w:t>17</w:t>
      </w:r>
      <w:r>
        <w:rPr/>
        <w:fldChar w:fldCharType="end"/>
      </w:r>
    </w:p>
    <w:p>
      <w:pPr>
        <w:pStyle w:val="ManualTOC2"/>
        <w:rPr/>
      </w:pPr>
      <w:r>
        <w:rPr>
          <w:rFonts w:eastAsia="Arial Unicode MS" w:cs="Arial"/>
          <w:b w:val="false"/>
          <w:color w:val="607181"/>
          <w:sz w:val="19"/>
        </w:rPr>
        <w:t>17.1 Wall Mounting</w:t>
      </w:r>
      <w:r>
        <w:rPr/>
        <w:tab/>
      </w:r>
      <w:r>
        <w:rPr/>
        <w:fldChar w:fldCharType="begin"/>
      </w:r>
      <w:r>
        <w:rPr/>
        <w:instrText xml:space="preserve"> PAGEREF manual_heading_021 \h </w:instrText>
      </w:r>
      <w:r>
        <w:rPr/>
        <w:fldChar w:fldCharType="separate"/>
      </w:r>
      <w:r>
        <w:rPr/>
        <w:t>17</w:t>
      </w:r>
      <w:r>
        <w:rPr/>
        <w:fldChar w:fldCharType="end"/>
      </w:r>
    </w:p>
    <w:p>
      <w:pPr>
        <w:pStyle w:val="ManualTOC2"/>
        <w:rPr/>
      </w:pPr>
      <w:r>
        <w:rPr>
          <w:rFonts w:eastAsia="Arial Unicode MS" w:cs="Arial"/>
          <w:b w:val="false"/>
          <w:color w:val="607181"/>
          <w:sz w:val="19"/>
        </w:rPr>
        <w:t>17.2 Pole Mounting</w:t>
      </w:r>
      <w:r>
        <w:rPr/>
        <w:tab/>
      </w:r>
      <w:r>
        <w:rPr/>
        <w:fldChar w:fldCharType="begin"/>
      </w:r>
      <w:r>
        <w:rPr/>
        <w:instrText xml:space="preserve"> PAGEREF manual_heading_022 \h </w:instrText>
      </w:r>
      <w:r>
        <w:rPr/>
        <w:fldChar w:fldCharType="separate"/>
      </w:r>
      <w:r>
        <w:rPr/>
        <w:t>18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18. Waterproofing Connections</w:t>
      </w:r>
      <w:r>
        <w:rPr/>
        <w:tab/>
      </w:r>
      <w:r>
        <w:rPr/>
        <w:fldChar w:fldCharType="begin"/>
      </w:r>
      <w:r>
        <w:rPr/>
        <w:instrText xml:space="preserve"> PAGEREF manual_heading_023 \h </w:instrText>
      </w:r>
      <w:r>
        <w:rPr/>
        <w:fldChar w:fldCharType="separate"/>
      </w:r>
      <w:r>
        <w:rPr/>
        <w:t>19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19. Gateway Ingress-Protection Check</w:t>
      </w:r>
      <w:r>
        <w:rPr/>
        <w:tab/>
      </w:r>
      <w:r>
        <w:rPr/>
        <w:fldChar w:fldCharType="begin"/>
      </w:r>
      <w:r>
        <w:rPr/>
        <w:instrText xml:space="preserve"> PAGEREF manual_heading_024 \h </w:instrText>
      </w:r>
      <w:r>
        <w:rPr/>
        <w:fldChar w:fldCharType="separate"/>
      </w:r>
      <w:r>
        <w:rPr/>
        <w:t>19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20. PoE Adapter Waterproof Installation</w:t>
      </w:r>
      <w:r>
        <w:rPr/>
        <w:tab/>
      </w:r>
      <w:r>
        <w:rPr/>
        <w:fldChar w:fldCharType="begin"/>
      </w:r>
      <w:r>
        <w:rPr/>
        <w:instrText xml:space="preserve"> PAGEREF manual_heading_025 \h </w:instrText>
      </w:r>
      <w:r>
        <w:rPr/>
        <w:fldChar w:fldCharType="separate"/>
      </w:r>
      <w:r>
        <w:rPr/>
        <w:t>20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21. Gateway Configuration</w:t>
      </w:r>
      <w:r>
        <w:rPr/>
        <w:tab/>
      </w:r>
      <w:r>
        <w:rPr/>
        <w:fldChar w:fldCharType="begin"/>
      </w:r>
      <w:r>
        <w:rPr/>
        <w:instrText xml:space="preserve"> PAGEREF manual_heading_026 \h </w:instrText>
      </w:r>
      <w:r>
        <w:rPr/>
        <w:fldChar w:fldCharType="separate"/>
      </w:r>
      <w:r>
        <w:rPr/>
        <w:t>20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22. Using ThinkLink</w:t>
      </w:r>
      <w:r>
        <w:rPr/>
        <w:tab/>
      </w:r>
      <w:r>
        <w:rPr/>
        <w:fldChar w:fldCharType="begin"/>
      </w:r>
      <w:r>
        <w:rPr/>
        <w:instrText xml:space="preserve"> PAGEREF manual_heading_027 \h </w:instrText>
      </w:r>
      <w:r>
        <w:rPr/>
        <w:fldChar w:fldCharType="separate"/>
      </w:r>
      <w:r>
        <w:rPr/>
        <w:t>20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23. Connecting to ChirpStack</w:t>
      </w:r>
      <w:r>
        <w:rPr/>
        <w:tab/>
      </w:r>
      <w:r>
        <w:rPr/>
        <w:fldChar w:fldCharType="begin"/>
      </w:r>
      <w:r>
        <w:rPr/>
        <w:instrText xml:space="preserve"> PAGEREF manual_heading_028 \h </w:instrText>
      </w:r>
      <w:r>
        <w:rPr/>
        <w:fldChar w:fldCharType="separate"/>
      </w:r>
      <w:r>
        <w:rPr/>
        <w:t>20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24. Connecting to TTN</w:t>
      </w:r>
      <w:r>
        <w:rPr/>
        <w:tab/>
      </w:r>
      <w:r>
        <w:rPr/>
        <w:fldChar w:fldCharType="begin"/>
      </w:r>
      <w:r>
        <w:rPr/>
        <w:instrText xml:space="preserve"> PAGEREF manual_heading_029 \h </w:instrText>
      </w:r>
      <w:r>
        <w:rPr/>
        <w:fldChar w:fldCharType="separate"/>
      </w:r>
      <w:r>
        <w:rPr/>
        <w:t>20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25. Security Configuration Recommendations</w:t>
      </w:r>
      <w:r>
        <w:rPr/>
        <w:tab/>
      </w:r>
      <w:r>
        <w:rPr/>
        <w:fldChar w:fldCharType="begin"/>
      </w:r>
      <w:r>
        <w:rPr/>
        <w:instrText xml:space="preserve"> PAGEREF manual_heading_030 \h </w:instrText>
      </w:r>
      <w:r>
        <w:rPr/>
        <w:fldChar w:fldCharType="separate"/>
      </w:r>
      <w:r>
        <w:rPr/>
        <w:t>20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>26. Contact Us</w:t>
      </w:r>
      <w:r>
        <w:rPr/>
        <w:tab/>
      </w:r>
      <w:r>
        <w:rPr/>
        <w:fldChar w:fldCharType="begin"/>
      </w:r>
      <w:r>
        <w:rPr/>
        <w:instrText xml:space="preserve"> PAGEREF manual_heading_031 \h </w:instrText>
      </w:r>
      <w:r>
        <w:rPr/>
        <w:fldChar w:fldCharType="separate"/>
      </w:r>
      <w:r>
        <w:rPr/>
        <w:t>21</w:t>
      </w:r>
      <w:r>
        <w:rPr/>
        <w:fldChar w:fldCharType="end"/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200"/>
        <w:rPr/>
      </w:pPr>
      <w:bookmarkStart w:id="0" w:name="manual_heading_001"/>
      <w:r>
        <w:rPr>
          <w:rFonts w:eastAsia="Arial Unicode MS" w:cs="Arial" w:ascii="Arial" w:hAnsi="Arial"/>
          <w:color w:val="1E6F9F"/>
          <w:sz w:val="32"/>
        </w:rPr>
        <w:t>1. Product Description</w:t>
      </w:r>
      <w:bookmarkEnd w:id="0"/>
    </w:p>
    <w:p>
      <w:pPr>
        <w:pStyle w:val="Normal"/>
        <w:rPr/>
      </w:pPr>
      <w:r>
        <w:rPr>
          <w:rFonts w:eastAsia="Arial Unicode MS" w:cs="Arial"/>
          <w:color w:val="243442"/>
          <w:sz w:val="22"/>
        </w:rPr>
        <w:t>GD72 is an outdoor, multi-channel, high-performance gateway designed by ManThink for LoRaWAN systems. It uses a high-performance processor, a Semtech SX1302 LoRa concentrator and an industrial-grade Wi-Fi module. It supports Ethernet, cellular, Wi-Fi access-point/client and Bluetooth Low Energy (BLE) connections. GD72 is suitable for low-power wide-area network deployments in cities, factories, campuses and other outdoor or harsh environments, and can also support edge computing, protocol conversion, data buffering and local application extensions.</w:t>
      </w:r>
    </w:p>
    <w:p>
      <w:pPr>
        <w:pStyle w:val="Heading1"/>
        <w:rPr/>
      </w:pPr>
      <w:bookmarkStart w:id="1" w:name="manual_heading_002"/>
      <w:r>
        <w:rPr>
          <w:rFonts w:eastAsia="Arial Unicode MS" w:cs="Arial" w:ascii="Arial" w:hAnsi="Arial"/>
          <w:color w:val="1E6F9F"/>
          <w:sz w:val="32"/>
        </w:rPr>
        <w:t>2. Main Features</w:t>
      </w:r>
      <w:bookmarkEnd w:id="1"/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High-performance chipset, at least 512 MB DDR and at least 16 GB eMMC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SX1302 LoRa concentrator with at least 8 LoRaWAN uplink channels, up to 16 frequency points and up to 32 demodulators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 xml:space="preserve">-141 dBm LoRa receiver sensitivity at SF12/BW 125 kHz; maximum transmit power is 27 dBm for suffix </w:t>
      </w:r>
      <w:r>
        <w:rPr>
          <w:rFonts w:eastAsia="Arial Unicode MS" w:cs="Menlo" w:ascii="Menlo" w:hAnsi="Menlo"/>
          <w:color w:val="18324A"/>
          <w:sz w:val="21"/>
        </w:rPr>
        <w:t>-1</w:t>
      </w:r>
      <w:r>
        <w:rPr>
          <w:rFonts w:eastAsia="Arial Unicode MS" w:cs="Arial"/>
          <w:color w:val="243442"/>
          <w:sz w:val="22"/>
        </w:rPr>
        <w:t xml:space="preserve"> and 22 dBm for suffix </w:t>
      </w:r>
      <w:r>
        <w:rPr>
          <w:rFonts w:eastAsia="Arial Unicode MS" w:cs="Menlo" w:ascii="Menlo" w:hAnsi="Menlo"/>
          <w:color w:val="18324A"/>
          <w:sz w:val="21"/>
        </w:rPr>
        <w:t>-2</w:t>
      </w:r>
      <w:r>
        <w:rPr>
          <w:rFonts w:eastAsia="Arial Unicode MS" w:cs="Arial"/>
          <w:color w:val="243442"/>
          <w:sz w:val="22"/>
        </w:rPr>
        <w:t>, with a maximum-power tolerance of ±2 dBm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Standard LoRaWAN and the AS923 regional parameters, plus regional configurations for CN470, EU433, EU868, AU915 and US915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Industrial-grade Wi-Fi module supporting access-point and client modes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2.4 GHz or 5 GHz Wi-Fi, IEEE 802.11a/b/g/n, at least 100 Mbps download and at least 50 Mbps upload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Bluetooth Low Energy (BLE)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WPA2, AES and TLS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Ethernet, 4G/LTE and Wi-Fi backhaul options, plus dual-gateway redundancy architecture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GPS/BeiDou positioning and NTP clock synchronization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MQTT, MQTTS, HTTP, HTTPS, SNMP, DHCP, static IP, NAT and ICMP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Secure remote management, configuration and upgrades; supports Python and Node-RED for secondary development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Automatic fault detection and recovery; reporting of CPU, memory, storage, network and LoRa communication-quality indicators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Built-in indicators for LoRa, network, power/operation and faults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Built-in TKL, including LoRaWAN network server and IoT platform, historical data, Thing Model and Dashboard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IP67 enclosure for pole or wall mounting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Visual configuration and maintenance through gwTool7</w:t>
      </w:r>
    </w:p>
    <w:p>
      <w:pPr>
        <w:pStyle w:val="Heading1"/>
        <w:rPr/>
      </w:pPr>
      <w:bookmarkStart w:id="2" w:name="manual_heading_003"/>
      <w:r>
        <w:rPr>
          <w:rFonts w:eastAsia="Arial Unicode MS" w:cs="Arial" w:ascii="Arial" w:hAnsi="Arial"/>
          <w:color w:val="1E6F9F"/>
          <w:sz w:val="32"/>
        </w:rPr>
        <w:t>3. Technical Specifications</w:t>
      </w:r>
      <w:bookmarkEnd w:id="2"/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Category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Parameter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GD72 Specification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COMPUTE AND STORAGE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SoC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High-performance multi-core processor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Memory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DDR, ≥ 512 MB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Storage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eMMC, ≥ 16 GB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Category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Parameter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GD72 Specification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SOFTWARE AND PLATFORM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Built-in platform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Built-in TKL LoRaWAN network server and IoT platform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External platforms/protocols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ThinkLink, ChirpStack, TTN, Basic Station and GWMP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Data services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PostgreSQL, Redis, historical data storage, Thing Model, application data parsing and Dashboard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Secondary development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Supports Python and Node-RED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Remote operations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Remote management, configuration and upgrades over SSH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Fault handling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Automatic fault detection and recovery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Monitoring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Reporting of CPU, memory and storage usage, network status and LoRa communication quality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Category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Parameter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GD72 Specification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LORAWAN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Concentrator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Semtech SX1302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Protocol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Standard LoRaWAN; compliant with LoRa Alliance™ LoRaWAN Specification v1.0.4 or a later version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Operating bands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AS923: 920–928 MHz; regional configurations also include CN470, EU433, EU868, US915 (902–928 MHz) and AU915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Channels/frequency points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At least 8 uplink channels; up to 16 frequency points at BW = 125 kHz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Demodulators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Up to 32, processing up to 32 packets simultaneously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Demodulator composition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16 × SF5–SF12 LoRa®demodulators; 16 × SF5–SF10 LoRa®demodulators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Channel capacity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Up to 130 logical channels; each SF, bandwidth and frequency-point combination defines a channel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Communication rate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292 bps to 15.625 kbps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Spreading factors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SF5 to SF12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Single-channel bandwidth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125 kHz or higher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Operating mode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Half-duplex; dual-LoRa architecture can be provided by configuration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Transmit power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Suffix </w:t>
            </w:r>
            <w:r>
              <w:rPr>
                <w:rFonts w:eastAsia="Arial Unicode MS" w:cs="Menlo" w:ascii="Menlo" w:hAnsi="Menlo"/>
                <w:color w:val="18324A"/>
                <w:kern w:val="0"/>
                <w:sz w:val="17"/>
                <w:szCs w:val="22"/>
                <w:lang w:val="en-US" w:eastAsia="en-US" w:bidi="ar-SA"/>
              </w:rPr>
              <w:t>-1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: 27 dBm maximum; suffix </w:t>
            </w:r>
            <w:r>
              <w:rPr>
                <w:rFonts w:eastAsia="Arial Unicode MS" w:cs="Menlo" w:ascii="Menlo" w:hAnsi="Menlo"/>
                <w:color w:val="18324A"/>
                <w:kern w:val="0"/>
                <w:sz w:val="17"/>
                <w:szCs w:val="22"/>
                <w:lang w:val="en-US" w:eastAsia="en-US" w:bidi="ar-SA"/>
              </w:rPr>
              <w:t>-2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: 22 dBm maximum; maximum-power tolerance: ±2 dBm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Receiver sensitivity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-141 dBm at SF12/BW 125 kHz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Antenna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Omnidirectional LoRa antenna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Category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Parameter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GD72 Specification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WI-FI AND BLUETOOTH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Wi-Fi module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Industrial-grade Wi-Fi module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Operating modes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Access-point mode and client mode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Bands/standards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2.4 GHz or 5 GHz; IEEE 802.11a/b/g/n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Download/upload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Download ≥ 100 Mbps; upload ≥ 50 Mbps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Security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WPA2, AES and TLS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Bluetooth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Bluetooth Low Energy (BLE)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Category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Parameter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GD72 Specification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NETWORK AND TRANSPORT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Ethernet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1000M/100M; DHCP and static IP configuration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Cellular uplink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CAT1 4G/LTE module by default; LTE-FDD B1/3/5/8 and LTE-TDD B34/38/39/40/41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Data forwarding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MQTT, MQTTS, HTTP and HTTPS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Network services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NTP, prevailing-version SNMP, NAT and ICMP diagnostics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Network redundancy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Dual-gateway architecture for network redundancy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Category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Parameter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GD72 Specification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SECURITY AND AUTHENTICATION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Device identity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IMEI or device-feature-string authentication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Access protection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Firewall and access control list (ACL)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Transport security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Prevailing-version TLS; administrators can disable unsafe SSH/TLS cipher suites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Category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Parameter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GD72 Specification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PORTS AND TIMING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Configuration ports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USB Type-C, Ethernet and Wi-Fi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SIM slot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One external nano-SIM slot supporting LTE/5G SIM cards; cellular standards are determined by the configured module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Positioning/timing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GPS and BeiDou (BDS) positioning; NTP synchronization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Category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Parameter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GD72 Specification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POWER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Power supply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One PoE or PoE+ Ethernet port; nominal 48 V PoE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Power consumption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&lt; 5 W in a typical configuration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2"/>
        <w:spacing w:before="0" w:after="140"/>
        <w:rPr/>
      </w:pPr>
      <w:bookmarkStart w:id="3" w:name="manual_heading_004"/>
      <w:r>
        <w:rPr>
          <w:rFonts w:eastAsia="Arial Unicode MS" w:cs="Arial" w:ascii="Arial" w:hAnsi="Arial"/>
          <w:color w:val="1E6F9F"/>
          <w:sz w:val="26"/>
        </w:rPr>
        <w:t>3.1 Environment and Enclosure</w:t>
      </w:r>
      <w:bookmarkEnd w:id="3"/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Category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Parameter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GD72 Specification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Operating temperature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-40°C to 70°C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Operating humidity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0% to 95% RH, non-condensing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Ingress protection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IP67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Radio-equipment requirement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Compliant with HKCA 1078 requirements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Weight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1.2 kg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Dimensions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164 × 124 × 50 mm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Installation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Pole or wall mounting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p>
      <w:pPr>
        <w:pStyle w:val="Normal"/>
        <w:rPr/>
      </w:pPr>
      <w:r>
        <w:rPr>
          <w:rFonts w:eastAsia="Arial Unicode MS" w:cs="Arial"/>
          <w:color w:val="243442"/>
          <w:sz w:val="22"/>
        </w:rPr>
        <w:t>Cellular deployment note: if local operator bands are outside the default module range, contact ManThink for a suitable cellular module.</w:t>
      </w:r>
    </w:p>
    <w:p>
      <w:pPr>
        <w:pStyle w:val="Heading1"/>
        <w:rPr/>
      </w:pPr>
      <w:bookmarkStart w:id="4" w:name="manual_heading_005"/>
      <w:r>
        <w:rPr>
          <w:rFonts w:eastAsia="Arial Unicode MS" w:cs="Arial" w:ascii="Arial" w:hAnsi="Arial"/>
          <w:color w:val="1E6F9F"/>
          <w:sz w:val="32"/>
        </w:rPr>
        <w:t>4. Accessories</w:t>
      </w:r>
      <w:bookmarkEnd w:id="4"/>
    </w:p>
    <w:p>
      <w:pPr>
        <w:pStyle w:val="Normal"/>
        <w:rPr/>
      </w:pPr>
      <w:r>
        <w:rPr>
          <w:rFonts w:eastAsia="Arial Unicode MS" w:cs="Arial"/>
          <w:color w:val="243442"/>
          <w:sz w:val="22"/>
        </w:rPr>
        <w:t>The product package includes the GD72 gateway, PoE components, mounting hardware, waterproof components, LoRa antenna, LTE antenna, GPS antenna, Wi-Fi antenna, network cable and fasteners. Cellular-enabled versions include an LTE/5G SIM card.</w:t>
      </w:r>
    </w:p>
    <w:p>
      <w:pPr>
        <w:pStyle w:val="Heading1"/>
        <w:rPr/>
      </w:pPr>
      <w:bookmarkStart w:id="5" w:name="manual_heading_006"/>
      <w:r>
        <w:rPr>
          <w:rFonts w:eastAsia="Arial Unicode MS" w:cs="Arial" w:ascii="Arial" w:hAnsi="Arial"/>
          <w:color w:val="1E6F9F"/>
          <w:sz w:val="32"/>
        </w:rPr>
        <w:t>5. Gateway Body</w:t>
      </w:r>
      <w:bookmarkEnd w:id="5"/>
    </w:p>
    <w:p>
      <w:pPr>
        <w:pStyle w:val="Heading1"/>
        <w:rPr/>
      </w:pPr>
      <w:bookmarkStart w:id="6" w:name="manual_heading_007"/>
      <w:r>
        <w:rPr>
          <w:rFonts w:eastAsia="Arial Unicode MS" w:cs="Arial" w:ascii="Arial" w:hAnsi="Arial"/>
          <w:color w:val="1E6F9F"/>
          <w:sz w:val="32"/>
        </w:rPr>
        <w:t>6. Product Dimensions</w:t>
      </w:r>
      <w:bookmarkEnd w:id="6"/>
    </w:p>
    <w:p>
      <w:pPr>
        <w:pStyle w:val="Normal"/>
        <w:keepNext w:val="true"/>
        <w:keepLines/>
        <w:spacing w:before="80" w:after="40"/>
        <w:jc w:val="center"/>
        <w:rPr/>
      </w:pPr>
      <w:r>
        <w:rPr/>
        <w:drawing>
          <wp:inline distT="0" distB="0" distL="0" distR="0">
            <wp:extent cx="5532120" cy="2607310"/>
            <wp:effectExtent l="0" t="0" r="0" b="0"/>
            <wp:docPr id="2" name="Picture 2" descr="GD72 product dimensions" title="GD72 product dimens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D72 product dimensions" title="GD72 product dimensions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260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igureCaption"/>
        <w:rPr/>
      </w:pPr>
      <w:r>
        <w:rPr/>
        <w:t>Figure  GD72 product dimensions</w:t>
      </w:r>
    </w:p>
    <w:p>
      <w:pPr>
        <w:pStyle w:val="Heading1"/>
        <w:rPr/>
      </w:pPr>
      <w:bookmarkStart w:id="7" w:name="manual_heading_008"/>
      <w:r>
        <w:rPr>
          <w:rFonts w:eastAsia="Arial Unicode MS" w:cs="Arial" w:ascii="Arial" w:hAnsi="Arial"/>
          <w:color w:val="1E6F9F"/>
          <w:sz w:val="32"/>
        </w:rPr>
        <w:t>7. Interface Description</w:t>
      </w:r>
      <w:bookmarkEnd w:id="7"/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700"/>
        <w:gridCol w:w="6660"/>
      </w:tblGrid>
      <w:tr>
        <w:trPr>
          <w:tblHeader w:val="true"/>
          <w:cantSplit/>
        </w:trPr>
        <w:tc>
          <w:tcPr>
            <w:tcW w:w="27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Interface</w:t>
            </w:r>
          </w:p>
        </w:tc>
        <w:tc>
          <w:tcPr>
            <w:tcW w:w="666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Description</w:t>
            </w:r>
          </w:p>
        </w:tc>
      </w:tr>
      <w:tr>
        <w:trPr>
          <w:cantSplit/>
        </w:trPr>
        <w:tc>
          <w:tcPr>
            <w:tcW w:w="27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RF</w:t>
            </w:r>
          </w:p>
        </w:tc>
        <w:tc>
          <w:tcPr>
            <w:tcW w:w="666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LoRa antenna interface</w:t>
            </w:r>
          </w:p>
        </w:tc>
      </w:tr>
      <w:tr>
        <w:trPr>
          <w:cantSplit/>
        </w:trPr>
        <w:tc>
          <w:tcPr>
            <w:tcW w:w="27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WIFI</w:t>
            </w:r>
          </w:p>
        </w:tc>
        <w:tc>
          <w:tcPr>
            <w:tcW w:w="666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Wi-Fi antenna interface</w:t>
            </w:r>
          </w:p>
        </w:tc>
      </w:tr>
      <w:tr>
        <w:trPr>
          <w:cantSplit/>
        </w:trPr>
        <w:tc>
          <w:tcPr>
            <w:tcW w:w="27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POE</w:t>
            </w:r>
          </w:p>
        </w:tc>
        <w:tc>
          <w:tcPr>
            <w:tcW w:w="666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PoE/PoE+ power and Ethernet interface</w:t>
            </w:r>
          </w:p>
        </w:tc>
      </w:tr>
      <w:tr>
        <w:trPr>
          <w:cantSplit/>
        </w:trPr>
        <w:tc>
          <w:tcPr>
            <w:tcW w:w="27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SIM</w:t>
            </w:r>
          </w:p>
        </w:tc>
        <w:tc>
          <w:tcPr>
            <w:tcW w:w="666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External nano-SIM slot</w:t>
            </w:r>
          </w:p>
        </w:tc>
      </w:tr>
      <w:tr>
        <w:trPr>
          <w:cantSplit/>
        </w:trPr>
        <w:tc>
          <w:tcPr>
            <w:tcW w:w="27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4G</w:t>
            </w:r>
          </w:p>
        </w:tc>
        <w:tc>
          <w:tcPr>
            <w:tcW w:w="666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LTE antenna interface</w:t>
            </w:r>
          </w:p>
        </w:tc>
      </w:tr>
      <w:tr>
        <w:trPr>
          <w:cantSplit/>
        </w:trPr>
        <w:tc>
          <w:tcPr>
            <w:tcW w:w="27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GPS</w:t>
            </w:r>
          </w:p>
        </w:tc>
        <w:tc>
          <w:tcPr>
            <w:tcW w:w="666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GPS/BeiDou antenna interface</w:t>
            </w:r>
          </w:p>
        </w:tc>
      </w:tr>
      <w:tr>
        <w:trPr>
          <w:cantSplit/>
        </w:trPr>
        <w:tc>
          <w:tcPr>
            <w:tcW w:w="27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TYPE-C</w:t>
            </w:r>
          </w:p>
        </w:tc>
        <w:tc>
          <w:tcPr>
            <w:tcW w:w="666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Local configuration and debugging interface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p>
      <w:pPr>
        <w:pStyle w:val="Heading1"/>
        <w:rPr/>
      </w:pPr>
      <w:bookmarkStart w:id="8" w:name="manual_heading_009"/>
      <w:r>
        <w:rPr>
          <w:rFonts w:eastAsia="Arial Unicode MS" w:cs="Arial" w:ascii="Arial" w:hAnsi="Arial"/>
          <w:color w:val="1E6F9F"/>
          <w:sz w:val="32"/>
        </w:rPr>
        <w:t>8. Indicator Description</w:t>
      </w:r>
      <w:bookmarkEnd w:id="8"/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Indicator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Color/network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States and meanings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Run indicator 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drawing>
                <wp:inline distT="0" distB="0" distL="0" distR="0">
                  <wp:extent cx="201295" cy="187325"/>
                  <wp:effectExtent l="0" t="0" r="0" b="0"/>
                  <wp:docPr id="3" name="Picture 3" descr="Run indica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Run indica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87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—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Steady: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 System starting.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eastAsia="Arial Unicode MS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Off: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 Base startup complete; applications are starting.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eastAsia="Arial Unicode MS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1 Hz flashing: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 Normal operation.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Network indicator 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drawing>
                <wp:inline distT="0" distB="0" distL="0" distR="0">
                  <wp:extent cx="201295" cy="176530"/>
                  <wp:effectExtent l="0" t="0" r="0" b="0"/>
                  <wp:docPr id="4" name="Picture 4" descr="Network indica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Network indica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Blue/wired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Green/cellular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Blue, 1 Hz: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 Wired network normal.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eastAsia="Arial Unicode MS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Blue, every 500 ms: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 Wired network abnormal.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eastAsia="Arial Unicode MS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Blue, rapid: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 Network configuration in progress.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eastAsia="Arial Unicode MS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Green, off: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 No cellular module.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eastAsia="Arial Unicode MS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Green, steady: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 Module installed but no SIM.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eastAsia="Arial Unicode MS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Green, irregular: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 Cellular data activity.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LoRa transceiver indicator 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drawing>
                <wp:inline distT="0" distB="0" distL="0" distR="0">
                  <wp:extent cx="201295" cy="160020"/>
                  <wp:effectExtent l="0" t="0" r="0" b="0"/>
                  <wp:docPr id="5" name="Picture 5" descr="LoRa transceiver indica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LoRa transceiver indica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60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Green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Blue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Green flashing: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 Transmitting LoRa packets.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eastAsia="Arial Unicode MS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Blue flashing: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 Receiving LoRa packets.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LAN status indicator 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drawing>
                <wp:inline distT="0" distB="0" distL="0" distR="0">
                  <wp:extent cx="201295" cy="194310"/>
                  <wp:effectExtent l="0" t="0" r="0" b="0"/>
                  <wp:docPr id="6" name="Picture 6" descr="LAN status indica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LAN status indica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94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Red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Blue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Red: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 System-control state.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eastAsia="Arial Unicode MS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Blue: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 Wi-Fi connection state.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Fault indicator 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drawing>
                <wp:inline distT="0" distB="0" distL="0" distR="0">
                  <wp:extent cx="201295" cy="189230"/>
                  <wp:effectExtent l="0" t="0" r="0" b="0"/>
                  <wp:docPr id="7" name="Picture 7" descr="Fault indica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Fault indica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—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Rapid flashing: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 Startup phase 2.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eastAsia="Arial Unicode MS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Off: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 No fault.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eastAsia="Arial Unicode MS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Flashing: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 Fault detected.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p>
      <w:pPr>
        <w:pStyle w:val="Heading1"/>
        <w:rPr/>
      </w:pPr>
      <w:bookmarkStart w:id="9" w:name="manual_heading_010"/>
      <w:r>
        <w:rPr>
          <w:rFonts w:eastAsia="Arial Unicode MS" w:cs="Arial" w:ascii="Arial" w:hAnsi="Arial"/>
          <w:color w:val="1E6F9F"/>
          <w:sz w:val="32"/>
        </w:rPr>
        <w:t>9. Product Model</w:t>
      </w:r>
      <w:bookmarkEnd w:id="9"/>
    </w:p>
    <w:p>
      <w:pPr>
        <w:pStyle w:val="Heading2"/>
        <w:rPr/>
      </w:pPr>
      <w:bookmarkStart w:id="10" w:name="manual_heading_011"/>
      <w:r>
        <w:rPr>
          <w:rFonts w:eastAsia="Arial Unicode MS" w:cs="Arial" w:ascii="Arial" w:hAnsi="Arial"/>
          <w:color w:val="1E6F9F"/>
          <w:sz w:val="26"/>
        </w:rPr>
        <w:t>9.1 Standard Model</w:t>
      </w:r>
      <w:bookmarkEnd w:id="10"/>
    </w:p>
    <w:p>
      <w:pPr>
        <w:pStyle w:val="Normal"/>
        <w:rPr/>
      </w:pPr>
      <w:r>
        <w:rPr>
          <w:rFonts w:eastAsia="Arial Unicode MS" w:cs="Arial"/>
          <w:color w:val="243442"/>
          <w:sz w:val="22"/>
        </w:rPr>
        <w:t xml:space="preserve">The GD72 standard model is </w:t>
      </w:r>
      <w:r>
        <w:rPr>
          <w:rFonts w:eastAsia="Arial Unicode MS" w:cs="Menlo" w:ascii="Menlo" w:hAnsi="Menlo"/>
          <w:color w:val="18324A"/>
          <w:sz w:val="21"/>
        </w:rPr>
        <w:t>GD728-AG-AS923-N-2</w:t>
      </w:r>
      <w:r>
        <w:rPr>
          <w:rFonts w:eastAsia="Arial Unicode MS" w:cs="Arial"/>
          <w:color w:val="243442"/>
          <w:sz w:val="22"/>
        </w:rPr>
        <w:t>.</w:t>
      </w:r>
    </w:p>
    <w:p>
      <w:pPr>
        <w:pStyle w:val="Heading2"/>
        <w:rPr/>
      </w:pPr>
      <w:bookmarkStart w:id="11" w:name="manual_heading_012"/>
      <w:r>
        <w:rPr>
          <w:rFonts w:eastAsia="Arial Unicode MS" w:cs="Arial" w:ascii="Arial" w:hAnsi="Arial"/>
          <w:color w:val="1E6F9F"/>
          <w:sz w:val="26"/>
        </w:rPr>
        <w:t>9.2 Model Components</w:t>
      </w:r>
      <w:bookmarkEnd w:id="11"/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b/>
          <w:color w:val="243442"/>
          <w:sz w:val="22"/>
        </w:rPr>
        <w:t>GD728: series and RF band.</w:t>
      </w:r>
      <w:r>
        <w:rPr>
          <w:rFonts w:eastAsia="Arial Unicode MS" w:cs="Arial"/>
          <w:color w:val="243442"/>
          <w:sz w:val="22"/>
        </w:rPr>
        <w:t xml:space="preserve"> </w:t>
      </w:r>
      <w:r>
        <w:rPr>
          <w:rFonts w:eastAsia="Arial Unicode MS" w:cs="Menlo" w:ascii="Menlo" w:hAnsi="Menlo"/>
          <w:color w:val="18324A"/>
          <w:sz w:val="21"/>
        </w:rPr>
        <w:t>GD72</w:t>
      </w:r>
      <w:r>
        <w:rPr>
          <w:rFonts w:eastAsia="Arial Unicode MS" w:cs="Arial"/>
          <w:color w:val="243442"/>
          <w:sz w:val="22"/>
        </w:rPr>
        <w:t xml:space="preserve"> identifies the outdoor LoRaWAN gateway series; </w:t>
      </w:r>
      <w:r>
        <w:rPr>
          <w:rFonts w:eastAsia="Arial Unicode MS" w:cs="Menlo" w:ascii="Menlo" w:hAnsi="Menlo"/>
          <w:color w:val="18324A"/>
          <w:sz w:val="21"/>
        </w:rPr>
        <w:t>8</w:t>
      </w:r>
      <w:r>
        <w:rPr>
          <w:rFonts w:eastAsia="Arial Unicode MS" w:cs="Arial"/>
          <w:color w:val="243442"/>
          <w:sz w:val="22"/>
        </w:rPr>
        <w:t xml:space="preserve"> identifies the 800 MHz-and-above RF version.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b/>
          <w:color w:val="243442"/>
          <w:sz w:val="22"/>
        </w:rPr>
        <w:t>-AG: LoRa architecture and cellular configuration.</w:t>
      </w:r>
      <w:r>
        <w:rPr>
          <w:rFonts w:eastAsia="Arial Unicode MS" w:cs="Arial"/>
          <w:color w:val="243442"/>
          <w:sz w:val="22"/>
        </w:rPr>
        <w:t xml:space="preserve"> </w:t>
      </w:r>
      <w:r>
        <w:rPr>
          <w:rFonts w:eastAsia="Arial Unicode MS" w:cs="Menlo" w:ascii="Menlo" w:hAnsi="Menlo"/>
          <w:color w:val="18324A"/>
          <w:sz w:val="21"/>
        </w:rPr>
        <w:t>A</w:t>
      </w:r>
      <w:r>
        <w:rPr>
          <w:rFonts w:eastAsia="Arial Unicode MS" w:cs="Arial"/>
          <w:color w:val="243442"/>
          <w:sz w:val="22"/>
        </w:rPr>
        <w:t xml:space="preserve"> identifies one LoRa antenna, 8 frequency points, 65 channels and half-duplex operation; </w:t>
      </w:r>
      <w:r>
        <w:rPr>
          <w:rFonts w:eastAsia="Arial Unicode MS" w:cs="Menlo" w:ascii="Menlo" w:hAnsi="Menlo"/>
          <w:color w:val="18324A"/>
          <w:sz w:val="21"/>
        </w:rPr>
        <w:t>G</w:t>
      </w:r>
      <w:r>
        <w:rPr>
          <w:rFonts w:eastAsia="Arial Unicode MS" w:cs="Arial"/>
          <w:color w:val="243442"/>
          <w:sz w:val="22"/>
        </w:rPr>
        <w:t xml:space="preserve"> identifies an integrated cellular module.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b/>
          <w:color w:val="243442"/>
          <w:sz w:val="22"/>
        </w:rPr>
        <w:t>-AS923: LoRaWAN regional standard.</w:t>
      </w:r>
      <w:r>
        <w:rPr>
          <w:rFonts w:eastAsia="Arial Unicode MS" w:cs="Arial"/>
          <w:color w:val="243442"/>
          <w:sz w:val="22"/>
        </w:rPr>
        <w:t xml:space="preserve"> Identifies support for the AS923 regional parameters.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b/>
          <w:color w:val="243442"/>
          <w:sz w:val="22"/>
        </w:rPr>
        <w:t>-N: version code.</w:t>
      </w:r>
      <w:r>
        <w:rPr>
          <w:rFonts w:eastAsia="Arial Unicode MS" w:cs="Arial"/>
          <w:color w:val="243442"/>
          <w:sz w:val="22"/>
        </w:rPr>
        <w:t xml:space="preserve"> </w:t>
      </w:r>
      <w:r>
        <w:rPr>
          <w:rFonts w:eastAsia="Arial Unicode MS" w:cs="Menlo" w:ascii="Menlo" w:hAnsi="Menlo"/>
          <w:color w:val="18324A"/>
          <w:sz w:val="21"/>
        </w:rPr>
        <w:t>N</w:t>
      </w:r>
      <w:r>
        <w:rPr>
          <w:rFonts w:eastAsia="Arial Unicode MS" w:cs="Arial"/>
          <w:color w:val="243442"/>
          <w:sz w:val="22"/>
        </w:rPr>
        <w:t xml:space="preserve"> identifies the default version; other values are used for customized versions.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b/>
          <w:color w:val="243442"/>
          <w:sz w:val="22"/>
        </w:rPr>
        <w:t>-1: transmit-power version.</w:t>
      </w:r>
      <w:r>
        <w:rPr>
          <w:rFonts w:eastAsia="Arial Unicode MS" w:cs="Arial"/>
          <w:color w:val="243442"/>
          <w:sz w:val="22"/>
        </w:rPr>
        <w:t xml:space="preserve"> Maximum transmit power is 27 dBm, with a maximum-power tolerance of ±2 dBm.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b/>
          <w:color w:val="243442"/>
          <w:sz w:val="22"/>
        </w:rPr>
        <w:t>-2: transmit-power version.</w:t>
      </w:r>
      <w:r>
        <w:rPr>
          <w:rFonts w:eastAsia="Arial Unicode MS" w:cs="Arial"/>
          <w:color w:val="243442"/>
          <w:sz w:val="22"/>
        </w:rPr>
        <w:t xml:space="preserve"> Maximum transmit power is 22 dBm, with a maximum-power tolerance of ±2 dBm.</w:t>
      </w:r>
    </w:p>
    <w:p>
      <w:pPr>
        <w:pStyle w:val="Heading1"/>
        <w:rPr/>
      </w:pPr>
      <w:bookmarkStart w:id="12" w:name="manual_heading_013"/>
      <w:r>
        <w:rPr>
          <w:rFonts w:eastAsia="Arial Unicode MS" w:cs="Arial" w:ascii="Arial" w:hAnsi="Arial"/>
          <w:color w:val="1E6F9F"/>
          <w:sz w:val="32"/>
        </w:rPr>
        <w:t>10. Gateway Installation</w:t>
      </w:r>
      <w:bookmarkEnd w:id="12"/>
    </w:p>
    <w:p>
      <w:pPr>
        <w:pStyle w:val="Normal"/>
        <w:rPr/>
      </w:pPr>
      <w:r>
        <w:rPr>
          <w:rFonts w:eastAsia="Arial Unicode MS" w:cs="Arial"/>
          <w:b/>
          <w:color w:val="243442"/>
          <w:sz w:val="22"/>
        </w:rPr>
        <w:t>Do not open the gateway enclosure during installation. Disconnect power first and verify that antennas, PoE, waterproof connectors and grounding measures meet site requirements.</w:t>
      </w:r>
    </w:p>
    <w:p>
      <w:pPr>
        <w:pStyle w:val="Heading1"/>
        <w:rPr/>
      </w:pPr>
      <w:bookmarkStart w:id="13" w:name="manual_heading_014"/>
      <w:r>
        <w:rPr>
          <w:rFonts w:eastAsia="Arial Unicode MS" w:cs="Arial" w:ascii="Arial" w:hAnsi="Arial"/>
          <w:color w:val="1E6F9F"/>
          <w:sz w:val="32"/>
        </w:rPr>
        <w:t>11. Installation Direction</w:t>
      </w:r>
      <w:bookmarkEnd w:id="13"/>
    </w:p>
    <w:p>
      <w:pPr>
        <w:pStyle w:val="Normal"/>
        <w:keepNext w:val="true"/>
        <w:keepLines/>
        <w:spacing w:before="80" w:after="40"/>
        <w:jc w:val="center"/>
        <w:rPr/>
      </w:pPr>
      <w:r>
        <w:rPr/>
        <w:drawing>
          <wp:inline distT="0" distB="0" distL="0" distR="0">
            <wp:extent cx="5532120" cy="3682365"/>
            <wp:effectExtent l="0" t="0" r="0" b="0"/>
            <wp:docPr id="8" name="Picture 8" descr="Correct GD72 installation direction" title="Correct GD72 installation dire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orrect GD72 installation direction" title="Correct GD72 installation direction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3682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igureCaption"/>
        <w:rPr/>
      </w:pPr>
      <w:r>
        <w:rPr/>
        <w:t>Figure  Correct GD72 installation direction</w:t>
      </w:r>
    </w:p>
    <w:p>
      <w:pPr>
        <w:pStyle w:val="Normal"/>
        <w:rPr/>
      </w:pPr>
      <w:r>
        <w:rPr>
          <w:rFonts w:eastAsia="Arial Unicode MS" w:cs="Arial"/>
          <w:color w:val="243442"/>
          <w:sz w:val="22"/>
        </w:rPr>
        <w:t>The product front is shown above. The GPS and 4G/LTE antenna interfaces face right, and the Wi-Fi antenna interface faces down. Maintain this orientation to support drainage and ingress protection.</w:t>
      </w:r>
    </w:p>
    <w:p>
      <w:pPr>
        <w:pStyle w:val="Heading1"/>
        <w:rPr/>
      </w:pPr>
      <w:bookmarkStart w:id="14" w:name="manual_heading_015"/>
      <w:r>
        <w:rPr>
          <w:rFonts w:eastAsia="Arial Unicode MS" w:cs="Arial" w:ascii="Arial" w:hAnsi="Arial"/>
          <w:color w:val="1E6F9F"/>
          <w:sz w:val="32"/>
        </w:rPr>
        <w:t>12. Backplate Installation</w:t>
      </w:r>
      <w:bookmarkEnd w:id="14"/>
    </w:p>
    <w:p>
      <w:pPr>
        <w:pStyle w:val="ListNumber"/>
        <w:numPr>
          <w:ilvl w:val="0"/>
          <w:numId w:val="15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Turn the gateway to the illustrated orientation and verify that the backplate is securely attached.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Align the screws and tighten them evenly clockwise. Do not overtighten or damage the threads.</w:t>
      </w:r>
    </w:p>
    <w:p>
      <w:pPr>
        <w:pStyle w:val="Normal"/>
        <w:keepNext w:val="true"/>
        <w:keepLines/>
        <w:spacing w:before="80" w:after="40"/>
        <w:jc w:val="center"/>
        <w:rPr/>
      </w:pPr>
      <w:r>
        <w:rPr/>
        <w:drawing>
          <wp:inline distT="0" distB="0" distL="0" distR="0">
            <wp:extent cx="2999105" cy="5303520"/>
            <wp:effectExtent l="0" t="0" r="0" b="0"/>
            <wp:docPr id="9" name="Picture 9" descr="GD72 backplate installation" title="GD72 backplate install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D72 backplate installation" title="GD72 backplate installation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530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igureCaption"/>
        <w:rPr/>
      </w:pPr>
      <w:r>
        <w:rPr/>
        <w:t>Figure  GD72 backplate installation</w:t>
      </w:r>
    </w:p>
    <w:p>
      <w:pPr>
        <w:pStyle w:val="Heading1"/>
        <w:rPr/>
      </w:pPr>
      <w:bookmarkStart w:id="15" w:name="manual_heading_016"/>
      <w:r>
        <w:rPr>
          <w:rFonts w:eastAsia="Arial Unicode MS" w:cs="Arial" w:ascii="Arial" w:hAnsi="Arial"/>
          <w:color w:val="1E6F9F"/>
          <w:sz w:val="32"/>
        </w:rPr>
        <w:t>13. Network Cable Installation</w:t>
      </w:r>
      <w:bookmarkEnd w:id="15"/>
    </w:p>
    <w:p>
      <w:pPr>
        <w:pStyle w:val="ListNumber"/>
        <w:numPr>
          <w:ilvl w:val="0"/>
          <w:numId w:val="16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Pass the waterproof-connector components over the cable in the illustrated order and assemble them tightly.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Insert the RJ45 plug into the gateway POE port.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Move the waterproof connector to the POE port and tighten it to form a reliable seal.</w:t>
      </w:r>
    </w:p>
    <w:p>
      <w:pPr>
        <w:pStyle w:val="Normal"/>
        <w:keepNext w:val="true"/>
        <w:keepLines/>
        <w:spacing w:before="80" w:after="40"/>
        <w:jc w:val="center"/>
        <w:rPr/>
      </w:pPr>
      <w:r>
        <w:rPr/>
        <w:drawing>
          <wp:inline distT="0" distB="0" distL="0" distR="0">
            <wp:extent cx="5532120" cy="1844040"/>
            <wp:effectExtent l="0" t="0" r="0" b="0"/>
            <wp:docPr id="10" name="Picture 10" descr="GD72 network cable installation step one" title="GD72 network cable installation step 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D72 network cable installation step one" title="GD72 network cable installation step on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184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igureCaption"/>
        <w:rPr/>
      </w:pPr>
      <w:r>
        <w:rPr/>
        <w:t>Figure  GD72 network cable installation step one</w:t>
      </w:r>
    </w:p>
    <w:p>
      <w:pPr>
        <w:pStyle w:val="Normal"/>
        <w:keepNext w:val="true"/>
        <w:keepLines/>
        <w:spacing w:before="80" w:after="40"/>
        <w:jc w:val="center"/>
        <w:rPr/>
      </w:pPr>
      <w:r>
        <w:rPr/>
        <w:drawing>
          <wp:inline distT="0" distB="0" distL="0" distR="0">
            <wp:extent cx="5532120" cy="3858895"/>
            <wp:effectExtent l="0" t="0" r="0" b="0"/>
            <wp:docPr id="11" name="Picture 11" descr="GD72 network cable installation step two" title="GD72 network cable installation step t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D72 network cable installation step two" title="GD72 network cable installation step two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385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igureCaption"/>
        <w:rPr/>
      </w:pPr>
      <w:r>
        <w:rPr/>
        <w:t>Figure  GD72 network cable installation step two</w:t>
      </w:r>
    </w:p>
    <w:p>
      <w:pPr>
        <w:pStyle w:val="Heading1"/>
        <w:rPr/>
      </w:pPr>
      <w:bookmarkStart w:id="16" w:name="manual_heading_017"/>
      <w:r>
        <w:rPr>
          <w:rFonts w:eastAsia="Arial Unicode MS" w:cs="Arial" w:ascii="Arial" w:hAnsi="Arial"/>
          <w:color w:val="1E6F9F"/>
          <w:sz w:val="32"/>
        </w:rPr>
        <w:t>14. SIM Card Installation</w:t>
      </w:r>
      <w:bookmarkEnd w:id="16"/>
    </w:p>
    <w:p>
      <w:pPr>
        <w:pStyle w:val="ListNumber"/>
        <w:numPr>
          <w:ilvl w:val="0"/>
          <w:numId w:val="17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Unscrew the waterproof cover on the SIM interface.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Keep the SIM card contacts facing the TYPE-C interface.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Insert the SIM card and tighten the waterproof cover.</w:t>
      </w:r>
    </w:p>
    <w:p>
      <w:pPr>
        <w:pStyle w:val="Normal"/>
        <w:keepNext w:val="true"/>
        <w:keepLines/>
        <w:spacing w:before="80" w:after="40"/>
        <w:jc w:val="center"/>
        <w:rPr/>
      </w:pPr>
      <w:r>
        <w:rPr/>
        <w:drawing>
          <wp:inline distT="0" distB="0" distL="0" distR="0">
            <wp:extent cx="5532120" cy="5244465"/>
            <wp:effectExtent l="0" t="0" r="0" b="0"/>
            <wp:docPr id="12" name="Picture 12" descr="GD72 SIM card installation" title="GD72 SIM card install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D72 SIM card installation" title="GD72 SIM card installatio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524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igureCaption"/>
        <w:rPr/>
      </w:pPr>
      <w:r>
        <w:rPr/>
        <w:t>Figure  GD72 SIM card installation</w:t>
      </w:r>
    </w:p>
    <w:p>
      <w:pPr>
        <w:pStyle w:val="Heading1"/>
        <w:rPr/>
      </w:pPr>
      <w:bookmarkStart w:id="17" w:name="manual_heading_018"/>
      <w:r>
        <w:rPr>
          <w:rFonts w:eastAsia="Arial Unicode MS" w:cs="Arial" w:ascii="Arial" w:hAnsi="Arial"/>
          <w:color w:val="1E6F9F"/>
          <w:sz w:val="32"/>
        </w:rPr>
        <w:t>15. Power Connection</w:t>
      </w:r>
      <w:bookmarkEnd w:id="17"/>
    </w:p>
    <w:p>
      <w:pPr>
        <w:pStyle w:val="ListNumber"/>
        <w:numPr>
          <w:ilvl w:val="0"/>
          <w:numId w:val="18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Connect the PoE adapter OUT port to the gateway POE interface for power.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Connect the PoE adapter IN port to a switch or router. With cellular backhaul, the site network design determines whether the IN port is required.</w:t>
      </w:r>
    </w:p>
    <w:p>
      <w:pPr>
        <w:pStyle w:val="Normal"/>
        <w:keepNext w:val="true"/>
        <w:keepLines/>
        <w:spacing w:before="80" w:after="40"/>
        <w:jc w:val="center"/>
        <w:rPr/>
      </w:pPr>
      <w:r>
        <w:rPr/>
        <w:drawing>
          <wp:inline distT="0" distB="0" distL="0" distR="0">
            <wp:extent cx="5532120" cy="4317365"/>
            <wp:effectExtent l="0" t="0" r="0" b="0"/>
            <wp:docPr id="13" name="Picture 13" descr="GD72 PoE connection" title="GD72 PoE conne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D72 PoE connection" title="GD72 PoE connection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431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igureCaption"/>
        <w:rPr/>
      </w:pPr>
      <w:r>
        <w:rPr/>
        <w:t>Figure  GD72 PoE connection</w:t>
      </w:r>
    </w:p>
    <w:p>
      <w:pPr>
        <w:pStyle w:val="Heading1"/>
        <w:rPr/>
      </w:pPr>
      <w:bookmarkStart w:id="18" w:name="manual_heading_019"/>
      <w:r>
        <w:rPr>
          <w:rFonts w:eastAsia="Arial Unicode MS" w:cs="Arial" w:ascii="Arial" w:hAnsi="Arial"/>
          <w:color w:val="1E6F9F"/>
          <w:sz w:val="32"/>
        </w:rPr>
        <w:t>16. Antenna Installation</w:t>
      </w:r>
      <w:bookmarkEnd w:id="18"/>
    </w:p>
    <w:p>
      <w:pPr>
        <w:pStyle w:val="ListNumber"/>
        <w:numPr>
          <w:ilvl w:val="0"/>
          <w:numId w:val="19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Connect the LoRa antenna to the RF interface.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Connect the LTE, GPS/BDS and Wi-Fi antennas to their matching labeled interfaces.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Weatherproof all outdoor antenna connections according to site practice.</w:t>
      </w:r>
    </w:p>
    <w:p>
      <w:pPr>
        <w:pStyle w:val="Normal"/>
        <w:keepNext w:val="true"/>
        <w:keepLines/>
        <w:spacing w:before="80" w:after="40"/>
        <w:jc w:val="center"/>
        <w:rPr/>
      </w:pPr>
      <w:r>
        <w:rPr/>
        <w:drawing>
          <wp:inline distT="0" distB="0" distL="0" distR="0">
            <wp:extent cx="4030980" cy="5303520"/>
            <wp:effectExtent l="0" t="0" r="0" b="0"/>
            <wp:docPr id="14" name="Picture 14" descr="GD72 LoRa antenna installation" title="GD72 LoRa antenna install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D72 LoRa antenna installation" title="GD72 LoRa antenna installation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530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igureCaption"/>
        <w:rPr/>
      </w:pPr>
      <w:r>
        <w:rPr/>
        <w:t>Figure  GD72 LoRa antenna installation</w:t>
      </w:r>
    </w:p>
    <w:p>
      <w:pPr>
        <w:pStyle w:val="Heading1"/>
        <w:rPr/>
      </w:pPr>
      <w:bookmarkStart w:id="19" w:name="manual_heading_020"/>
      <w:r>
        <w:rPr>
          <w:rFonts w:eastAsia="Arial Unicode MS" w:cs="Arial" w:ascii="Arial" w:hAnsi="Arial"/>
          <w:color w:val="1E6F9F"/>
          <w:sz w:val="32"/>
        </w:rPr>
        <w:t>17. Gateway Mounting</w:t>
      </w:r>
      <w:bookmarkEnd w:id="19"/>
    </w:p>
    <w:p>
      <w:pPr>
        <w:pStyle w:val="Heading2"/>
        <w:rPr/>
      </w:pPr>
      <w:bookmarkStart w:id="20" w:name="manual_heading_021"/>
      <w:r>
        <w:rPr>
          <w:rFonts w:eastAsia="Arial Unicode MS" w:cs="Arial" w:ascii="Arial" w:hAnsi="Arial"/>
          <w:color w:val="1E6F9F"/>
          <w:sz w:val="26"/>
        </w:rPr>
        <w:t>17.1 Wall Mounting</w:t>
      </w:r>
      <w:bookmarkEnd w:id="20"/>
    </w:p>
    <w:p>
      <w:pPr>
        <w:pStyle w:val="ListNumber"/>
        <w:numPr>
          <w:ilvl w:val="0"/>
          <w:numId w:val="20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Keep the gateway front facing up.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Mark and drill the wall using the backplate holes, then install anchors suitable for the wall material.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Pass the fasteners through the backplate and tighten them evenly.</w:t>
      </w:r>
    </w:p>
    <w:p>
      <w:pPr>
        <w:pStyle w:val="Normal"/>
        <w:keepNext w:val="true"/>
        <w:keepLines/>
        <w:spacing w:before="80" w:after="40"/>
        <w:jc w:val="center"/>
        <w:rPr/>
      </w:pPr>
      <w:r>
        <w:rPr/>
        <w:drawing>
          <wp:inline distT="0" distB="0" distL="0" distR="0">
            <wp:extent cx="3962400" cy="5303520"/>
            <wp:effectExtent l="0" t="0" r="0" b="0"/>
            <wp:docPr id="15" name="Picture 15" descr="GD72 wall mounting" title="GD72 wall moun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D72 wall mounting" title="GD72 wall mounti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30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igureCaption"/>
        <w:rPr/>
      </w:pPr>
      <w:r>
        <w:rPr/>
        <w:t>Figure  GD72 wall mounting</w:t>
      </w:r>
    </w:p>
    <w:p>
      <w:pPr>
        <w:pStyle w:val="Heading2"/>
        <w:rPr/>
      </w:pPr>
      <w:bookmarkStart w:id="21" w:name="manual_heading_022"/>
      <w:r>
        <w:rPr>
          <w:rFonts w:eastAsia="Arial Unicode MS" w:cs="Arial" w:ascii="Arial" w:hAnsi="Arial"/>
          <w:color w:val="1E6F9F"/>
          <w:sz w:val="26"/>
        </w:rPr>
        <w:t>17.2 Pole Mounting</w:t>
      </w:r>
      <w:bookmarkEnd w:id="21"/>
    </w:p>
    <w:p>
      <w:pPr>
        <w:pStyle w:val="ListNumber"/>
        <w:numPr>
          <w:ilvl w:val="0"/>
          <w:numId w:val="2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Keep the gateway front facing up.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Confirm that the pole diameter is 30–52 mm.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Assemble the pole clamps as illustrated and tighten the screws evenly.</w:t>
      </w:r>
    </w:p>
    <w:p>
      <w:pPr>
        <w:pStyle w:val="Normal"/>
        <w:keepNext w:val="true"/>
        <w:keepLines/>
        <w:spacing w:before="80" w:after="40"/>
        <w:jc w:val="center"/>
        <w:rPr/>
      </w:pPr>
      <w:r>
        <w:rPr/>
        <w:drawing>
          <wp:inline distT="0" distB="0" distL="0" distR="0">
            <wp:extent cx="4145280" cy="5303520"/>
            <wp:effectExtent l="0" t="0" r="0" b="0"/>
            <wp:docPr id="16" name="Picture 16" descr="GD72 pole mounting" title="GD72 pole moun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D72 pole mounting" title="GD72 pole mounti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530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igureCaption"/>
        <w:rPr/>
      </w:pPr>
      <w:r>
        <w:rPr/>
        <w:t>Figure  GD72 pole mounting</w:t>
      </w:r>
    </w:p>
    <w:p>
      <w:pPr>
        <w:pStyle w:val="Heading1"/>
        <w:rPr/>
      </w:pPr>
      <w:bookmarkStart w:id="22" w:name="manual_heading_023"/>
      <w:r>
        <w:rPr>
          <w:rFonts w:eastAsia="Arial Unicode MS" w:cs="Arial" w:ascii="Arial" w:hAnsi="Arial"/>
          <w:color w:val="1E6F9F"/>
          <w:sz w:val="32"/>
        </w:rPr>
        <w:t>18. Waterproofing Connections</w:t>
      </w:r>
      <w:bookmarkEnd w:id="22"/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Wrap all connections with outdoor-rated insulating, self-amalgamating or waterproof material.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Pay particular attention to cable entries, antenna interfaces, the SIM cover and the power/network interface.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Completely cover each connection to form a continuous seal.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Inspect seals periodically and replace any material that is aged, cracked or loose.</w:t>
      </w:r>
    </w:p>
    <w:p>
      <w:pPr>
        <w:pStyle w:val="Heading1"/>
        <w:rPr/>
      </w:pPr>
      <w:bookmarkStart w:id="23" w:name="manual_heading_024"/>
      <w:r>
        <w:rPr>
          <w:rFonts w:eastAsia="Arial Unicode MS" w:cs="Arial" w:ascii="Arial" w:hAnsi="Arial"/>
          <w:color w:val="1E6F9F"/>
          <w:sz w:val="32"/>
        </w:rPr>
        <w:t>19. Gateway Ingress-Protection Check</w:t>
      </w:r>
      <w:bookmarkEnd w:id="23"/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Verify that all cable entries and connectors are sealed according to the installation steps.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Verify that unused ports have their supplied waterproof caps tightened.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Provide drip loops so rainwater cannot follow cables into connectors.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Complete the inspection before applying power.</w:t>
      </w:r>
    </w:p>
    <w:p>
      <w:pPr>
        <w:pStyle w:val="Heading1"/>
        <w:rPr/>
      </w:pPr>
      <w:bookmarkStart w:id="24" w:name="manual_heading_025"/>
      <w:r>
        <w:rPr>
          <w:rFonts w:eastAsia="Arial Unicode MS" w:cs="Arial" w:ascii="Arial" w:hAnsi="Arial"/>
          <w:color w:val="1E6F9F"/>
          <w:sz w:val="32"/>
        </w:rPr>
        <w:t>20. PoE Adapter Waterproof Installation</w:t>
      </w:r>
      <w:bookmarkEnd w:id="24"/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Install the PoE adapter in a weatherproof enclosure or another dry location; do not expose it directly to rain.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Mount it vertically with the interfaces facing down to reduce water-entry risk.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Seal cable entries and connections, and inspect the protection periodically.</w:t>
      </w:r>
    </w:p>
    <w:p>
      <w:pPr>
        <w:pStyle w:val="Normal"/>
        <w:rPr/>
      </w:pPr>
      <w:r>
        <w:rPr>
          <w:rFonts w:eastAsia="Arial Unicode MS" w:cs="Arial"/>
          <w:color w:val="243442"/>
          <w:sz w:val="22"/>
        </w:rPr>
        <w:t>Waterproofing must be designed for the site environment, local electrical rules and installation conditions. Use qualified personnel where required.</w:t>
      </w:r>
    </w:p>
    <w:p>
      <w:pPr>
        <w:pStyle w:val="Heading1"/>
        <w:rPr/>
      </w:pPr>
      <w:bookmarkStart w:id="25" w:name="manual_heading_026"/>
      <w:r>
        <w:rPr>
          <w:rFonts w:eastAsia="Arial Unicode MS" w:cs="Arial" w:ascii="Arial" w:hAnsi="Arial"/>
          <w:color w:val="1E6F9F"/>
          <w:sz w:val="32"/>
        </w:rPr>
        <w:t>21. Gateway Configuration</w:t>
      </w:r>
      <w:bookmarkEnd w:id="25"/>
    </w:p>
    <w:p>
      <w:pPr>
        <w:pStyle w:val="Normal"/>
        <w:rPr/>
      </w:pPr>
      <w:r>
        <w:rPr>
          <w:rFonts w:eastAsia="Arial Unicode MS" w:cs="Arial"/>
          <w:color w:val="243442"/>
          <w:sz w:val="22"/>
        </w:rPr>
        <w:t xml:space="preserve">GD72 is configured and maintained with gwTool7. See the </w:t>
      </w:r>
      <w:hyperlink r:id="rId18">
        <w:r>
          <w:rPr>
            <w:rStyle w:val="Style"/>
            <w:rFonts w:eastAsia="Arial Unicode MS"/>
            <w:color w:val="1E6F9F"/>
            <w:u w:val="single"/>
          </w:rPr>
          <w:t>gwTool7 Gateway Administrator Manual</w:t>
        </w:r>
      </w:hyperlink>
      <w:r>
        <w:rPr>
          <w:rFonts w:eastAsia="Arial Unicode MS" w:cs="Arial"/>
          <w:color w:val="243442"/>
          <w:sz w:val="22"/>
        </w:rPr>
        <w:t>.</w:t>
      </w:r>
    </w:p>
    <w:p>
      <w:pPr>
        <w:pStyle w:val="Heading1"/>
        <w:rPr/>
      </w:pPr>
      <w:bookmarkStart w:id="26" w:name="manual_heading_027"/>
      <w:r>
        <w:rPr>
          <w:rFonts w:eastAsia="Arial Unicode MS" w:cs="Arial" w:ascii="Arial" w:hAnsi="Arial"/>
          <w:color w:val="1E6F9F"/>
          <w:sz w:val="32"/>
        </w:rPr>
        <w:t>22. Using ThinkLink</w:t>
      </w:r>
      <w:bookmarkEnd w:id="26"/>
    </w:p>
    <w:p>
      <w:pPr>
        <w:pStyle w:val="Normal"/>
        <w:rPr/>
      </w:pPr>
      <w:r>
        <w:rPr>
          <w:rFonts w:eastAsia="Arial Unicode MS" w:cs="Arial"/>
          <w:color w:val="243442"/>
          <w:sz w:val="22"/>
        </w:rPr>
        <w:t xml:space="preserve">See the </w:t>
      </w:r>
      <w:hyperlink r:id="rId19">
        <w:r>
          <w:rPr>
            <w:rStyle w:val="Style"/>
            <w:rFonts w:eastAsia="Arial Unicode MS"/>
            <w:color w:val="1E6F9F"/>
            <w:u w:val="single"/>
          </w:rPr>
          <w:t>ThinkLink User Guide</w:t>
        </w:r>
      </w:hyperlink>
      <w:r>
        <w:rPr>
          <w:rFonts w:eastAsia="Arial Unicode MS" w:cs="Arial"/>
          <w:color w:val="243442"/>
          <w:sz w:val="22"/>
        </w:rPr>
        <w:t>.</w:t>
      </w:r>
    </w:p>
    <w:p>
      <w:pPr>
        <w:pStyle w:val="Heading1"/>
        <w:rPr/>
      </w:pPr>
      <w:bookmarkStart w:id="27" w:name="manual_heading_028"/>
      <w:r>
        <w:rPr>
          <w:rFonts w:eastAsia="Arial Unicode MS" w:cs="Arial" w:ascii="Arial" w:hAnsi="Arial"/>
          <w:color w:val="1E6F9F"/>
          <w:sz w:val="32"/>
        </w:rPr>
        <w:t>23. Connecting to ChirpStack</w:t>
      </w:r>
      <w:bookmarkEnd w:id="27"/>
    </w:p>
    <w:p>
      <w:pPr>
        <w:pStyle w:val="Normal"/>
        <w:rPr/>
      </w:pPr>
      <w:r>
        <w:rPr>
          <w:rFonts w:eastAsia="Arial Unicode MS" w:cs="Arial"/>
          <w:color w:val="243442"/>
          <w:sz w:val="22"/>
        </w:rPr>
        <w:t xml:space="preserve">See </w:t>
      </w:r>
      <w:hyperlink r:id="rId20">
        <w:r>
          <w:rPr>
            <w:rStyle w:val="Style"/>
            <w:rFonts w:eastAsia="Arial Unicode MS"/>
            <w:color w:val="1E6F9F"/>
            <w:u w:val="single"/>
          </w:rPr>
          <w:t>Connect to ChirpStack with Basic Station (gwTool7)</w:t>
        </w:r>
      </w:hyperlink>
      <w:r>
        <w:rPr>
          <w:rFonts w:eastAsia="Arial Unicode MS" w:cs="Arial"/>
          <w:color w:val="243442"/>
          <w:sz w:val="22"/>
        </w:rPr>
        <w:t>.</w:t>
      </w:r>
    </w:p>
    <w:p>
      <w:pPr>
        <w:pStyle w:val="Heading1"/>
        <w:rPr/>
      </w:pPr>
      <w:bookmarkStart w:id="28" w:name="manual_heading_029"/>
      <w:r>
        <w:rPr>
          <w:rFonts w:eastAsia="Arial Unicode MS" w:cs="Arial" w:ascii="Arial" w:hAnsi="Arial"/>
          <w:color w:val="1E6F9F"/>
          <w:sz w:val="32"/>
        </w:rPr>
        <w:t>24. Connecting to TTN</w:t>
      </w:r>
      <w:bookmarkEnd w:id="28"/>
    </w:p>
    <w:p>
      <w:pPr>
        <w:pStyle w:val="Normal"/>
        <w:rPr/>
      </w:pPr>
      <w:r>
        <w:rPr>
          <w:rFonts w:eastAsia="Arial Unicode MS" w:cs="Arial"/>
          <w:color w:val="243442"/>
          <w:sz w:val="22"/>
        </w:rPr>
        <w:t xml:space="preserve">See </w:t>
      </w:r>
      <w:hyperlink r:id="rId21">
        <w:r>
          <w:rPr>
            <w:rStyle w:val="Style"/>
            <w:rFonts w:eastAsia="Arial Unicode MS"/>
            <w:color w:val="1E6F9F"/>
            <w:u w:val="single"/>
          </w:rPr>
          <w:t>Connect to TTN with Basic Station (gwTool7)</w:t>
        </w:r>
      </w:hyperlink>
      <w:r>
        <w:rPr>
          <w:rFonts w:eastAsia="Arial Unicode MS" w:cs="Arial"/>
          <w:color w:val="243442"/>
          <w:sz w:val="22"/>
        </w:rPr>
        <w:t>.</w:t>
      </w:r>
    </w:p>
    <w:p>
      <w:pPr>
        <w:pStyle w:val="Heading1"/>
        <w:rPr/>
      </w:pPr>
      <w:bookmarkStart w:id="29" w:name="manual_heading_030"/>
      <w:r>
        <w:rPr>
          <w:rFonts w:eastAsia="Arial Unicode MS" w:cs="Arial" w:ascii="Arial" w:hAnsi="Arial"/>
          <w:color w:val="1E6F9F"/>
          <w:sz w:val="32"/>
        </w:rPr>
        <w:t>25. Security Configuration Recommendations</w:t>
      </w:r>
      <w:bookmarkEnd w:id="29"/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Change default administrative credentials during initial deployment and restrict management access to trusted networks.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Enable the firewall or ACL and disable unnecessary services and ports.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Use a prevailing TLS version and disable unsafe SSH/TLS cipher suites.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Retain audit records for remote upgrades, configuration changes and administrator operations.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Regularly review CPU, memory, storage, network and LoRa communication-quality alarms.</w:t>
      </w:r>
    </w:p>
    <w:p>
      <w:pPr>
        <w:pStyle w:val="Heading1"/>
        <w:rPr/>
      </w:pPr>
      <w:bookmarkStart w:id="30" w:name="manual_heading_031"/>
      <w:r>
        <w:rPr>
          <w:rFonts w:eastAsia="Arial Unicode MS" w:cs="Arial" w:ascii="Arial" w:hAnsi="Arial"/>
          <w:color w:val="1E6F9F"/>
          <w:sz w:val="32"/>
        </w:rPr>
        <w:t>26. Contact Us</w:t>
      </w:r>
      <w:bookmarkEnd w:id="30"/>
    </w:p>
    <w:p>
      <w:pPr>
        <w:pStyle w:val="Normal"/>
        <w:rPr/>
      </w:pPr>
      <w:r>
        <w:rPr>
          <w:rFonts w:eastAsia="Arial Unicode MS" w:cs="Arial"/>
          <w:color w:val="243442"/>
          <w:sz w:val="22"/>
        </w:rPr>
        <w:t xml:space="preserve">Website: </w:t>
      </w:r>
      <w:hyperlink r:id="rId22">
        <w:r>
          <w:rPr>
            <w:rStyle w:val="Style"/>
            <w:rFonts w:eastAsia="Arial Unicode MS"/>
            <w:color w:val="1E6F9F"/>
            <w:u w:val="single"/>
          </w:rPr>
          <w:t>www.manthink.cn</w:t>
        </w:r>
      </w:hyperlink>
    </w:p>
    <w:p>
      <w:pPr>
        <w:pStyle w:val="Normal"/>
        <w:rPr/>
      </w:pPr>
      <w:r>
        <w:rPr>
          <w:rFonts w:eastAsia="Arial Unicode MS" w:cs="Arial"/>
          <w:color w:val="243442"/>
          <w:sz w:val="22"/>
        </w:rPr>
        <w:t xml:space="preserve">Email: </w:t>
      </w:r>
      <w:hyperlink r:id="rId23">
        <w:r>
          <w:rPr>
            <w:rStyle w:val="Style"/>
            <w:rFonts w:eastAsia="Arial Unicode MS"/>
            <w:color w:val="1E6F9F"/>
            <w:u w:val="single"/>
          </w:rPr>
          <w:t>info@manthink.cn</w:t>
        </w:r>
      </w:hyperlink>
    </w:p>
    <w:p>
      <w:pPr>
        <w:pStyle w:val="Normal"/>
        <w:widowControl/>
        <w:bidi w:val="0"/>
        <w:spacing w:lineRule="auto" w:line="300" w:before="0" w:after="120"/>
        <w:jc w:val="start"/>
        <w:rPr/>
      </w:pPr>
      <w:r>
        <w:rPr>
          <w:rFonts w:eastAsia="Arial Unicode MS" w:cs="Arial"/>
          <w:color w:val="243442"/>
          <w:sz w:val="22"/>
        </w:rPr>
        <w:t>Tel: +86-15810684257</w:t>
      </w:r>
    </w:p>
    <w:sectPr>
      <w:headerReference w:type="even" r:id="rId24"/>
      <w:headerReference w:type="default" r:id="rId25"/>
      <w:headerReference w:type="first" r:id="rId26"/>
      <w:footerReference w:type="even" r:id="rId27"/>
      <w:footerReference w:type="default" r:id="rId28"/>
      <w:footerReference w:type="first" r:id="rId29"/>
      <w:type w:val="nextPage"/>
      <w:pgSz w:w="12240" w:h="15840"/>
      <w:pgMar w:left="1440" w:right="1440" w:gutter="0" w:header="708" w:top="1440" w:footer="708" w:bottom="144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ourier">
    <w:altName w:val="Courier New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Menlo">
    <w:charset w:val="01" w:characterSet="utf-8"/>
    <w:family w:val="roman"/>
    <w:pitch w:val="variable"/>
  </w:font>
  <w:font w:name="Symbol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0"/>
      <w:jc w:val="end"/>
      <w:rPr/>
    </w:pPr>
    <w:r>
      <w:rPr>
        <w:rFonts w:ascii="Arial" w:hAnsi="Arial" w:cs="Arial"/>
        <w:color w:val="607181"/>
        <w:sz w:val="17"/>
      </w:rPr>
      <w:t xml:space="preserve"> </w:t>
    </w:r>
    <w:r>
      <w:rPr>
        <w:rFonts w:ascii="Arial" w:hAnsi="Arial" w:cs="Arial"/>
        <w:color w:val="243442"/>
        <w:sz w:val="22"/>
      </w:rPr>
      <w:fldChar w:fldCharType="begin"/>
    </w:r>
    <w:r>
      <w:rPr>
        <w:rFonts w:ascii="Arial" w:hAnsi="Arial" w:cs="Arial"/>
        <w:color w:val="243442"/>
        <w:sz w:val="22"/>
      </w:rPr>
      <w:instrText xml:space="preserve"> PAGE </w:instrText>
    </w:r>
    <w:r>
      <w:rPr>
        <w:rFonts w:ascii="Arial" w:hAnsi="Arial" w:cs="Arial"/>
        <w:color w:val="243442"/>
        <w:sz w:val="22"/>
      </w:rPr>
      <w:fldChar w:fldCharType="separate"/>
    </w:r>
    <w:r>
      <w:rPr>
        <w:rFonts w:ascii="Arial" w:hAnsi="Arial" w:cs="Arial"/>
        <w:color w:val="243442"/>
        <w:sz w:val="22"/>
      </w:rPr>
      <w:t>21</w:t>
    </w:r>
    <w:r>
      <w:rPr>
        <w:rFonts w:ascii="Arial" w:hAnsi="Arial" w:cs="Arial"/>
        <w:color w:val="243442"/>
        <w:sz w:val="22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9360" w:leader="none"/>
      </w:tabs>
      <w:spacing w:before="0" w:after="0"/>
      <w:rPr/>
    </w:pPr>
    <w:r>
      <w:rPr>
        <w:rFonts w:eastAsia="Arial Unicode MS" w:cs="Arial"/>
        <w:b/>
        <w:color w:val="607181"/>
        <w:sz w:val="17"/>
      </w:rPr>
      <w:t>MANTHINK  /  GD72</w:t>
    </w:r>
    <w:r>
      <w:rPr/>
      <w:tab/>
    </w:r>
    <w:r>
      <w:rPr>
        <w:rFonts w:eastAsia="Arial Unicode MS" w:cs="Arial"/>
        <w:color w:val="607181"/>
        <w:sz w:val="16"/>
      </w:rPr>
      <w:t>DEVICE MANUAL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12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13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1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7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7"/>
    <w:lvlOverride w:ilvl="0">
      <w:startOverride w:val="1"/>
    </w:lvlOverride>
  </w:num>
  <w:num w:numId="21">
    <w:abstractNumId w:val="7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300" w:before="0" w:after="120"/>
      <w:jc w:val="start"/>
    </w:pPr>
    <w:rPr>
      <w:rFonts w:ascii="Arial" w:hAnsi="Arial" w:eastAsia="Arial Unicode MS" w:cs=""/>
      <w:color w:val="243442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360" w:after="20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1E6F9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80" w:after="14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1E6F9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10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1832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160" w:after="8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18324A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12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12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12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12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lineRule="auto" w:line="300" w:before="0" w:after="80"/>
      <w:ind w:hanging="271" w:start="540"/>
      <w:contextualSpacing/>
    </w:pPr>
    <w:rPr>
      <w:rFonts w:ascii="Arial" w:hAnsi="Arial" w:eastAsia="Arial Unicode MS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12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12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lineRule="auto" w:line="300" w:before="0" w:after="80"/>
      <w:ind w:hanging="271" w:start="540"/>
      <w:contextualSpacing/>
    </w:pPr>
    <w:rPr>
      <w:rFonts w:ascii="Arial" w:hAnsi="Arial" w:eastAsia="Arial Unicode MS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12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12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ManualTOC1" w:customStyle="1">
    <w:name w:val="Manual TOC 1"/>
    <w:qFormat/>
    <w:pPr>
      <w:keepLines/>
      <w:widowControl/>
      <w:tabs>
        <w:tab w:val="clear" w:pos="720"/>
        <w:tab w:val="right" w:pos="9144" w:leader="dot"/>
      </w:tabs>
      <w:bidi w:val="0"/>
      <w:spacing w:lineRule="auto" w:line="276" w:before="80" w:after="80"/>
      <w:ind w:start="0" w:end="0"/>
      <w:jc w:val="start"/>
    </w:pPr>
    <w:rPr>
      <w:rFonts w:ascii="Arial" w:hAnsi="Arial" w:eastAsia="Arial Unicode MS" w:cs=""/>
      <w:b/>
      <w:color w:val="18324A"/>
      <w:kern w:val="0"/>
      <w:sz w:val="21"/>
      <w:szCs w:val="22"/>
      <w:lang w:val="en-US" w:eastAsia="en-US" w:bidi="ar-SA"/>
    </w:rPr>
  </w:style>
  <w:style w:type="paragraph" w:styleId="ManualTOC2" w:customStyle="1">
    <w:name w:val="Manual TOC 2"/>
    <w:qFormat/>
    <w:pPr>
      <w:keepLines/>
      <w:widowControl/>
      <w:tabs>
        <w:tab w:val="clear" w:pos="720"/>
        <w:tab w:val="right" w:pos="9144" w:leader="dot"/>
      </w:tabs>
      <w:bidi w:val="0"/>
      <w:spacing w:lineRule="auto" w:line="276" w:before="40" w:after="60"/>
      <w:ind w:start="403" w:end="0"/>
      <w:jc w:val="start"/>
    </w:pPr>
    <w:rPr>
      <w:rFonts w:ascii="Arial" w:hAnsi="Arial" w:eastAsia="Arial Unicode MS" w:cs=""/>
      <w:b w:val="false"/>
      <w:color w:val="607181"/>
      <w:kern w:val="0"/>
      <w:sz w:val="19"/>
      <w:szCs w:val="22"/>
      <w:lang w:val="en-US" w:eastAsia="en-US" w:bidi="ar-SA"/>
    </w:rPr>
  </w:style>
  <w:style w:type="paragraph" w:styleId="ManualTOC3" w:customStyle="1">
    <w:name w:val="Manual TOC 3"/>
    <w:qFormat/>
    <w:pPr>
      <w:keepLines/>
      <w:widowControl/>
      <w:tabs>
        <w:tab w:val="clear" w:pos="720"/>
        <w:tab w:val="right" w:pos="9144" w:leader="dot"/>
      </w:tabs>
      <w:bidi w:val="0"/>
      <w:spacing w:lineRule="auto" w:line="276" w:before="20" w:after="60"/>
      <w:ind w:start="749" w:end="0"/>
      <w:jc w:val="start"/>
    </w:pPr>
    <w:rPr>
      <w:rFonts w:ascii="Arial" w:hAnsi="Arial" w:eastAsia="Arial Unicode MS" w:cs=""/>
      <w:b w:val="false"/>
      <w:color w:val="607181"/>
      <w:kern w:val="0"/>
      <w:sz w:val="18"/>
      <w:szCs w:val="22"/>
      <w:lang w:val="en-US" w:eastAsia="en-US" w:bidi="ar-SA"/>
    </w:rPr>
  </w:style>
  <w:style w:type="paragraph" w:styleId="CodeBlock" w:customStyle="1">
    <w:name w:val="Code Block"/>
    <w:qFormat/>
    <w:pPr>
      <w:widowControl/>
      <w:shd w:fill="F0F4F6" w:val="clear"/>
      <w:bidi w:val="0"/>
      <w:spacing w:lineRule="auto" w:line="276" w:before="100" w:after="140"/>
      <w:ind w:start="259" w:end="259"/>
      <w:jc w:val="start"/>
    </w:pPr>
    <w:rPr>
      <w:rFonts w:ascii="Menlo" w:hAnsi="Menlo" w:eastAsia="Arial Unicode MS" w:cs=""/>
      <w:color w:val="18324A"/>
      <w:kern w:val="0"/>
      <w:sz w:val="18"/>
      <w:szCs w:val="22"/>
      <w:lang w:val="en-US" w:eastAsia="en-US" w:bidi="ar-SA"/>
    </w:rPr>
  </w:style>
  <w:style w:type="paragraph" w:styleId="FigureCaption" w:customStyle="1">
    <w:name w:val="Figure Caption"/>
    <w:qFormat/>
    <w:pPr>
      <w:widowControl/>
      <w:bidi w:val="0"/>
      <w:spacing w:lineRule="auto" w:line="276" w:before="60" w:after="160"/>
      <w:jc w:val="center"/>
    </w:pPr>
    <w:rPr>
      <w:rFonts w:ascii="Arial" w:hAnsi="Arial" w:eastAsia="Arial Unicode MS" w:cs=""/>
      <w:color w:val="607181"/>
      <w:kern w:val="0"/>
      <w:sz w:val="17"/>
      <w:szCs w:val="22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image" Target="media/image13.jpeg"/><Relationship Id="rId15" Type="http://schemas.openxmlformats.org/officeDocument/2006/relationships/image" Target="media/image14.png"/><Relationship Id="rId16" Type="http://schemas.openxmlformats.org/officeDocument/2006/relationships/image" Target="media/image15.png"/><Relationship Id="rId17" Type="http://schemas.openxmlformats.org/officeDocument/2006/relationships/image" Target="media/image16.png"/><Relationship Id="rId18" Type="http://schemas.openxmlformats.org/officeDocument/2006/relationships/hyperlink" Target="https://think-link.net/docs/en/Device/LoRaWANGateway/gwtool7-administrator-guide" TargetMode="External"/><Relationship Id="rId19" Type="http://schemas.openxmlformats.org/officeDocument/2006/relationships/hyperlink" Target="https://think-link.net/docs/en/QuickStart/ThinkLinkIntroduction" TargetMode="External"/><Relationship Id="rId20" Type="http://schemas.openxmlformats.org/officeDocument/2006/relationships/hyperlink" Target="https://think-link.net/docs/en/Device/LoRaWANGateway/gwtool-chirpstack-basic-station" TargetMode="External"/><Relationship Id="rId21" Type="http://schemas.openxmlformats.org/officeDocument/2006/relationships/hyperlink" Target="https://think-link.net/docs/en/Device/LoRaWANGateway/gwtool-ttn-basic-station" TargetMode="External"/><Relationship Id="rId22" Type="http://schemas.openxmlformats.org/officeDocument/2006/relationships/hyperlink" Target="https://www.manthink.cn/" TargetMode="External"/><Relationship Id="rId23" Type="http://schemas.openxmlformats.org/officeDocument/2006/relationships/hyperlink" Target="mailto:info@manthink.cn" TargetMode="External"/><Relationship Id="rId24" Type="http://schemas.openxmlformats.org/officeDocument/2006/relationships/header" Target="header1.xml"/><Relationship Id="rId25" Type="http://schemas.openxmlformats.org/officeDocument/2006/relationships/header" Target="header2.xml"/><Relationship Id="rId26" Type="http://schemas.openxmlformats.org/officeDocument/2006/relationships/header" Target="header3.xml"/><Relationship Id="rId27" Type="http://schemas.openxmlformats.org/officeDocument/2006/relationships/footer" Target="footer1.xml"/><Relationship Id="rId28" Type="http://schemas.openxmlformats.org/officeDocument/2006/relationships/footer" Target="footer2.xml"/><Relationship Id="rId29" Type="http://schemas.openxmlformats.org/officeDocument/2006/relationships/footer" Target="footer3.xml"/><Relationship Id="rId30" Type="http://schemas.openxmlformats.org/officeDocument/2006/relationships/numbering" Target="numbering.xml"/><Relationship Id="rId31" Type="http://schemas.openxmlformats.org/officeDocument/2006/relationships/fontTable" Target="fontTable.xml"/><Relationship Id="rId32" Type="http://schemas.openxmlformats.org/officeDocument/2006/relationships/settings" Target="settings.xml"/><Relationship Id="rId33" Type="http://schemas.openxmlformats.org/officeDocument/2006/relationships/theme" Target="theme/theme1.xml"/><Relationship Id="rId3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LibreOffice/26.2.5.2$MacOSX_X86_64 LibreOffice_project/cd7284b4cbbfeb507e630c1aac019f4157393acb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/>
  <dc:description>generated by python-docx</dc:description>
  <cp:keywords>ManThink ThinkLink LoRaWAN</cp:keywords>
  <dc:language>zh-CN</dc:language>
  <cp:lastModifiedBy/>
  <dcterms:modified xsi:type="dcterms:W3CDTF">2013-12-23T23:15:00Z</dcterms:modified>
  <cp:revision>1</cp:revision>
  <dc:subject>ManThink device manual</dc:subject>
  <dc:title>GD72 Outdoor LoRaWAN Gateway User Manual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