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680"/>
      </w:pPr>
      <w:r>
        <w:rPr>
          <w:rFonts w:ascii="Arial" w:hAnsi="Arial" w:eastAsia="Arial Unicode MS" w:cs="Arial"/>
          <w:b/>
          <w:color w:val="2CA6A4"/>
          <w:sz w:val="19"/>
        </w:rPr>
        <w:t>MANTHINK  /  INDUSTRIAL IoT</w:t>
      </w:r>
    </w:p>
    <w:p>
      <w:pPr>
        <w:spacing w:after="40"/>
      </w:pPr>
      <w:r>
        <w:rPr>
          <w:rFonts w:ascii="Arial" w:hAnsi="Arial" w:eastAsia="Arial Unicode MS" w:cs="Arial"/>
          <w:b/>
          <w:color w:val="18324A"/>
          <w:sz w:val="68"/>
        </w:rPr>
        <w:t>gwTool7</w:t>
      </w:r>
    </w:p>
    <w:p>
      <w:pPr>
        <w:spacing w:after="80"/>
      </w:pPr>
      <w:r>
        <w:rPr>
          <w:rFonts w:ascii="Arial" w:hAnsi="Arial" w:eastAsia="Arial Unicode MS" w:cs="Arial"/>
          <w:b/>
          <w:color w:val="243442"/>
          <w:sz w:val="34"/>
        </w:rPr>
        <w:t>LoRaWAN 网关</w:t>
      </w:r>
    </w:p>
    <w:p>
      <w:pPr>
        <w:spacing w:after="360"/>
      </w:pPr>
      <w:r>
        <w:rPr>
          <w:rFonts w:ascii="Arial" w:hAnsi="Arial" w:eastAsia="Arial Unicode MS" w:cs="Arial"/>
          <w:color w:val="607181"/>
          <w:sz w:val="23"/>
        </w:rPr>
        <w:t>标准化设备说明书</w:t>
      </w:r>
    </w:p>
    <w:p>
      <w:pPr>
        <w:spacing w:before="0" w:after="320"/>
        <w:jc w:val="center"/>
      </w:pPr>
      <w:r>
        <w:drawing>
          <wp:inline xmlns:a="http://schemas.openxmlformats.org/drawingml/2006/main" xmlns:pic="http://schemas.openxmlformats.org/drawingml/2006/picture">
            <wp:extent cx="5486400" cy="1958816"/>
            <wp:docPr id="1" name="Picture 1" descr="gwTool7 网关管理员手册" title="gwTool7 网关管理员手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in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58816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版本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1.0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文档类型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设备说明书</w:t>
            </w:r>
          </w:p>
        </w:tc>
      </w:tr>
    </w:tbl>
    <w:p>
      <w:r>
        <w:br w:type="page"/>
      </w:r>
    </w:p>
    <w:p>
      <w:pPr>
        <w:spacing w:before="160" w:after="480"/>
      </w:pPr>
      <w:r>
        <w:rPr>
          <w:rFonts w:ascii="Arial" w:hAnsi="Arial" w:eastAsia="Arial Unicode MS" w:cs="Arial"/>
          <w:b/>
          <w:color w:val="18324A"/>
          <w:sz w:val="48"/>
        </w:rPr>
        <w:t>版本变更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00"/>
        <w:gridCol w:w="6960"/>
      </w:tblGrid>
      <w:tr>
        <w:trPr>
          <w:cantSplit/>
          <w:tblHeader w:val="true"/>
        </w:trPr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FFFFFF"/>
                <w:sz w:val="20"/>
              </w:rPr>
              <w:t>版本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FFFFFF"/>
                <w:sz w:val="20"/>
              </w:rPr>
              <w:t>变更说明</w:t>
            </w:r>
          </w:p>
        </w:tc>
      </w:tr>
      <w:tr>
        <w:trPr>
          <w:cantSplit/>
        </w:trPr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 w:val="0"/>
                <w:color w:val="243442"/>
                <w:sz w:val="20"/>
              </w:rPr>
              <w:t>1.0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 w:val="0"/>
                <w:color w:val="243442"/>
                <w:sz w:val="20"/>
              </w:rPr>
              <w:t>当前发布版本</w:t>
            </w:r>
          </w:p>
        </w:tc>
      </w:tr>
    </w:tbl>
    <w:p>
      <w:r>
        <w:br w:type="page"/>
      </w:r>
    </w:p>
    <w:p>
      <w:pPr>
        <w:spacing w:before="160" w:after="480"/>
      </w:pPr>
      <w:r>
        <w:rPr>
          <w:rFonts w:ascii="Arial" w:hAnsi="Arial" w:eastAsia="Arial Unicode MS" w:cs="Arial"/>
          <w:b/>
          <w:color w:val="18324A"/>
          <w:sz w:val="48"/>
        </w:rPr>
        <w:t>目录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1. 登录、退出与语言切换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页面用途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登录步骤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语言切换与退出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结果确认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2. 概览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页面用途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关键区域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操作与确认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3. LoRaWAN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3.1 LoRaWAN NS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3.2 射频 Radio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3.3 报文监控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4. ThinkLink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4.1 ThinkLink 常规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4.2 ThinkLink 高级功能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5. COM 串口业务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5.1 COM 常规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5.2 轮询抄表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5.3 MODBUS 记录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5.4 COM 高级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6. 网络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6.1 网络状态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页面用途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关键字段与控件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操作与确认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异常处理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6.2 有线网口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页面用途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关键字段与控件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DHCP 配置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静态地址配置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6.3 Wi-Fi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6.4 蓝牙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6.5 蜂窝网络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6.6 网络高级功能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7. 系统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7.1 系统管理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7.2 账户与安全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8. 升级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8.1 ThinkLink 升级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8.2 GwSerial 升级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8.3 GwTool 升级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8.4 固件升级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9. 维护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9.1 自检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9.2 系统日志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9.3 终端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9.4 服务管理与网关重启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页面用途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服务状态检查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手动重启网关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自动重启周期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结果确认与恢复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10. 通用安全与恢复建议</w:t>
      </w:r>
    </w:p>
    <w:p>
      <w:r>
        <w:br w:type="page"/>
      </w:r>
    </w:p>
    <w:p>
      <w:r>
        <w:rPr>
          <w:rFonts w:ascii="Arial" w:hAnsi="Arial" w:eastAsia="Arial Unicode MS" w:cs="Arial"/>
          <w:color w:val="243442"/>
          <w:sz w:val="22"/>
        </w:rPr>
        <w:t>适用产品：gwTool GD7</w:t>
      </w:r>
    </w:p>
    <w:p>
      <w:r>
        <w:rPr>
          <w:rFonts w:ascii="Arial" w:hAnsi="Arial" w:eastAsia="Arial Unicode MS" w:cs="Arial"/>
          <w:color w:val="243442"/>
          <w:sz w:val="22"/>
        </w:rPr>
        <w:t>文档版本：1.0</w:t>
      </w:r>
    </w:p>
    <w:p>
      <w:r>
        <w:rPr>
          <w:rFonts w:ascii="Arial" w:hAnsi="Arial" w:eastAsia="Arial Unicode MS" w:cs="Arial"/>
          <w:color w:val="243442"/>
          <w:sz w:val="22"/>
        </w:rPr>
        <w:t>截图界面：简体中文</w:t>
      </w:r>
    </w:p>
    <w:p>
      <w:r>
        <w:rPr>
          <w:rFonts w:ascii="Arial" w:hAnsi="Arial" w:eastAsia="Arial Unicode MS" w:cs="Arial"/>
          <w:color w:val="243442"/>
          <w:sz w:val="22"/>
        </w:rPr>
        <w:t>截图来源：授权测试设备；设备标识、网络地址和账号信息已裁切或遮盖</w:t>
      </w:r>
    </w:p>
    <w:p>
      <w:r>
        <w:rPr>
          <w:rFonts w:ascii="Arial" w:hAnsi="Arial" w:eastAsia="Arial Unicode MS" w:cs="Arial"/>
          <w:color w:val="243442"/>
          <w:sz w:val="22"/>
        </w:rPr>
        <w:t>本文档面向代理商、系统管理员和现场工程师，说明如何通过 gwTool Web 管理界面查看状态、完成配置，并识别高风险操作。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不同固件版本的字段和页面布局可能略有差异。执行配置、升级或重启前，应先备份现有参数并安排维护窗口。</w:t>
            </w:r>
          </w:p>
        </w:tc>
      </w:tr>
    </w:tbl>
    <w:p>
      <w:pPr>
        <w:spacing w:after="2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1. 登录、退出与语言切换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页面用途</w:t>
      </w:r>
    </w:p>
    <w:p>
      <w:r>
        <w:rPr>
          <w:rFonts w:ascii="Arial" w:hAnsi="Arial" w:eastAsia="Arial Unicode MS" w:cs="Arial"/>
          <w:color w:val="243442"/>
          <w:sz w:val="22"/>
        </w:rPr>
        <w:t>登录页用于验证管理员身份并进入网关管理界面。登录后可在页面右上角切换界面语言。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1975139"/>
            <wp:docPr id="2" name="Picture 2" descr="GD7 中文登录页面" title="GD7 中文登录页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in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19751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GD7 中文登录页面</w:t>
      </w:r>
    </w:p>
    <w:p>
      <w:r>
        <w:rPr>
          <w:rFonts w:ascii="Arial" w:hAnsi="Arial" w:eastAsia="Arial Unicode MS" w:cs="Arial"/>
          <w:i/>
          <w:color w:val="243442"/>
          <w:sz w:val="22"/>
        </w:rPr>
        <w:t>图 1：中文登录页。截图中的密码仅显示为掩码，文档不记录任何实际凭据。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登录步骤</w:t>
      </w:r>
    </w:p>
    <w:p>
      <w:pPr>
        <w:pStyle w:val="ListNumber"/>
        <w:numPr>
          <w:ilvl w:val="0"/>
          <w:numId w:val="10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将管理电脑连接到允许访问网关管理界面的网络。</w:t>
      </w:r>
    </w:p>
    <w:p>
      <w:pPr>
        <w:pStyle w:val="ListNumber"/>
        <w:numPr>
          <w:ilvl w:val="0"/>
          <w:numId w:val="10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 xml:space="preserve">在浏览器中打开 </w:t>
      </w:r>
      <w:r>
        <w:rPr>
          <w:rFonts w:ascii="Menlo" w:hAnsi="Menlo" w:eastAsia="Arial Unicode MS" w:cs="Menlo"/>
          <w:color w:val="18324A"/>
          <w:sz w:val="21"/>
        </w:rPr>
        <w:t>http://&lt;网关管理地址&gt;/</w:t>
      </w:r>
      <w:r>
        <w:rPr>
          <w:rFonts w:ascii="Arial" w:hAnsi="Arial" w:eastAsia="Arial Unicode MS" w:cs="Arial"/>
          <w:color w:val="243442"/>
          <w:sz w:val="22"/>
        </w:rPr>
        <w:t>。</w:t>
      </w:r>
    </w:p>
    <w:p>
      <w:pPr>
        <w:pStyle w:val="ListNumber"/>
        <w:numPr>
          <w:ilvl w:val="0"/>
          <w:numId w:val="10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输入管理员用户名和密码，然后选择“登录”。</w:t>
      </w:r>
    </w:p>
    <w:p>
      <w:pPr>
        <w:pStyle w:val="ListNumber"/>
        <w:numPr>
          <w:ilvl w:val="0"/>
          <w:numId w:val="10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登录成功后，确认左侧导航和右上角语言选项已显示。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语言切换与退出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选择页面右上角的语言下拉框，可在“简体中文”和英文界面之间切换。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语言切换后，先确认页面标题和导航文字已更新，再继续操作。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完成管理工作后，从右上角账号菜单退出登录；不要仅关闭浏览器标签页。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结果确认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成功：进入概览页，左侧导航可用，页面没有登录失效提示。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失败：检查管理地址、网络连通性、账号状态和键盘大小写；不要连续尝试不确定的密码。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不要在共享电脑上保存管理员密码，也不要通过截图、聊天记录或工单传递明文密码。</w:t>
            </w:r>
          </w:p>
        </w:tc>
      </w:tr>
    </w:tbl>
    <w:p>
      <w:pPr>
        <w:spacing w:after="2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2. 概览</w:t>
      </w:r>
    </w:p>
    <w:p>
      <w:r>
        <w:rPr>
          <w:rFonts w:ascii="Arial" w:hAnsi="Arial" w:eastAsia="Arial Unicode MS" w:cs="Arial"/>
          <w:b/>
          <w:color w:val="243442"/>
          <w:sz w:val="22"/>
        </w:rPr>
        <w:t>进入路径：</w:t>
      </w:r>
      <w:r>
        <w:rPr>
          <w:rFonts w:ascii="Arial" w:hAnsi="Arial" w:eastAsia="Arial Unicode MS" w:cs="Arial"/>
          <w:color w:val="243442"/>
          <w:sz w:val="22"/>
        </w:rPr>
        <w:t xml:space="preserve"> 左侧导航 → 概览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页面用途</w:t>
      </w:r>
    </w:p>
    <w:p>
      <w:r>
        <w:rPr>
          <w:rFonts w:ascii="Arial" w:hAnsi="Arial" w:eastAsia="Arial Unicode MS" w:cs="Arial"/>
          <w:color w:val="243442"/>
          <w:sz w:val="22"/>
        </w:rPr>
        <w:t>概览页集中显示网关身份信息、当前主链路、本机服务状态、版本信息和资源占用。开始配置或维护前，应先在此页完成健康检查。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1933936"/>
            <wp:docPr id="3" name="Picture 3" descr="GD7 中文界面的概览页面" title="GD7 中文界面的概览页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0cf250f55366a637ee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19339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GD7 中文界面的概览页面</w:t>
      </w:r>
    </w:p>
    <w:p>
      <w:r>
        <w:rPr>
          <w:rFonts w:ascii="Arial" w:hAnsi="Arial" w:eastAsia="Arial Unicode MS" w:cs="Arial"/>
          <w:i/>
          <w:color w:val="243442"/>
          <w:sz w:val="22"/>
        </w:rPr>
        <w:t>图 2：概览页显示网关、网络、服务与资源状态；设备唯一标识、当前地址和账号信息已遮盖。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关键区域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区域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说明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管理员关注点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LoRaWAN 网关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显示区域参数和网关基础状态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确认区域配置与部署地一致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主链路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显示当前优先使用的网络连接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确认链路类型符合现场设计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ThinkLink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显示本地服务运行状态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异常时先记录状态，再进入维护页排查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版本与设备信息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显示固件、硬件和时区等信息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升级或报障前记录版本号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设备资源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显示 CPU、内存和磁盘占用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持续偏高时安排日志与服务检查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操作与确认</w:t>
      </w:r>
    </w:p>
    <w:p>
      <w:pPr>
        <w:pStyle w:val="ListNumber"/>
        <w:numPr>
          <w:ilvl w:val="0"/>
          <w:numId w:val="11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打开“概览”，等待状态卡片加载完成。</w:t>
      </w:r>
    </w:p>
    <w:p>
      <w:pPr>
        <w:pStyle w:val="ListNumber"/>
        <w:numPr>
          <w:ilvl w:val="0"/>
          <w:numId w:val="11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检查主链路和 ThinkLink 状态是否符合预期。</w:t>
      </w:r>
    </w:p>
    <w:p>
      <w:pPr>
        <w:pStyle w:val="ListNumber"/>
        <w:numPr>
          <w:ilvl w:val="0"/>
          <w:numId w:val="11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查看 CPU、内存和磁盘占用；若出现告警，记录时间和占用项。</w:t>
      </w:r>
    </w:p>
    <w:p>
      <w:pPr>
        <w:pStyle w:val="ListNumber"/>
        <w:numPr>
          <w:ilvl w:val="0"/>
          <w:numId w:val="11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需要进一步处理时，再进入对应的网络、服务或升级页面。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概览状态只代表刷新时刻。执行维护操作前，应重新加载页面并确认告警仍然存在。</w:t>
            </w:r>
          </w:p>
        </w:tc>
      </w:tr>
    </w:tbl>
    <w:p>
      <w:pPr>
        <w:spacing w:after="2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3. LoRaWAN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3.1 LoRaWAN NS</w:t>
      </w:r>
    </w:p>
    <w:p>
      <w:r>
        <w:rPr>
          <w:rFonts w:ascii="Arial" w:hAnsi="Arial" w:eastAsia="Arial Unicode MS" w:cs="Arial"/>
          <w:b/>
          <w:color w:val="243442"/>
          <w:sz w:val="22"/>
        </w:rPr>
        <w:t>进入路径：</w:t>
      </w:r>
      <w:r>
        <w:rPr>
          <w:rFonts w:ascii="Arial" w:hAnsi="Arial" w:eastAsia="Arial Unicode MS" w:cs="Arial"/>
          <w:color w:val="243442"/>
          <w:sz w:val="22"/>
        </w:rPr>
        <w:t xml:space="preserve"> 左侧导航 → LORAWAN → LoRaWAN NS</w:t>
      </w:r>
    </w:p>
    <w:p>
      <w:r>
        <w:rPr>
          <w:rFonts w:ascii="Arial" w:hAnsi="Arial" w:eastAsia="Arial Unicode MS" w:cs="Arial"/>
          <w:color w:val="243442"/>
          <w:sz w:val="22"/>
        </w:rPr>
        <w:t>用于指定网关把 LoRaWAN 数据发送到本地或远端网络服务器。页面包含 NS1 主服务器、NS2 备用和 NMS 网管标签。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849041"/>
            <wp:docPr id="4" name="Picture 4" descr="GD7 中文界面的 LoRaWAN NS 页面" title="GD7 中文界面的 LoRaWAN NS 页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e75b4f219c554a5f57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8490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GD7 中文界面的 LoRaWAN NS 页面</w:t>
      </w:r>
    </w:p>
    <w:p>
      <w:r>
        <w:rPr>
          <w:rFonts w:ascii="Arial" w:hAnsi="Arial" w:eastAsia="Arial Unicode MS" w:cs="Arial"/>
          <w:i/>
          <w:color w:val="243442"/>
          <w:sz w:val="22"/>
        </w:rPr>
        <w:t>图 3：NS1 主服务器配置。服务器地址、用户名和密码值已遮盖。</w:t>
      </w:r>
    </w:p>
    <w:p>
      <w:r>
        <w:rPr>
          <w:rFonts w:ascii="Arial" w:hAnsi="Arial" w:eastAsia="Arial Unicode MS" w:cs="Arial"/>
          <w:b/>
          <w:color w:val="243442"/>
          <w:sz w:val="22"/>
        </w:rPr>
        <w:t>关键字段：</w:t>
      </w:r>
      <w:r>
        <w:rPr>
          <w:rFonts w:ascii="Arial" w:hAnsi="Arial" w:eastAsia="Arial Unicode MS" w:cs="Arial"/>
          <w:color w:val="243442"/>
          <w:sz w:val="22"/>
        </w:rPr>
        <w:t xml:space="preserve"> 服务器位置、供应商、协议、服务器地址、用户名、密码和可选证书。UDP 协议通常还需要地址及上、下行端口；MQTT 使用 Broker 地址，Basic Station 使用“服务器 URI”。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当前 gwTool7 固件可在“远端”模式中选择 </w:t>
      </w:r>
      <w:r>
        <w:rPr>
          <w:rFonts w:ascii="Arial" w:hAnsi="Arial" w:eastAsia="Arial Unicode MS" w:cs="Arial"/>
          <w:b/>
          <w:color w:val="243442"/>
          <w:sz w:val="22"/>
        </w:rPr>
        <w:t>ChirpStack</w:t>
      </w:r>
      <w:r>
        <w:rPr>
          <w:rFonts w:ascii="Arial" w:hAnsi="Arial" w:eastAsia="Arial Unicode MS" w:cs="Arial"/>
          <w:color w:val="243442"/>
          <w:sz w:val="22"/>
        </w:rPr>
        <w:t xml:space="preserve"> 或 </w:t>
      </w:r>
      <w:r>
        <w:rPr>
          <w:rFonts w:ascii="Arial" w:hAnsi="Arial" w:eastAsia="Arial Unicode MS" w:cs="Arial"/>
          <w:b/>
          <w:color w:val="243442"/>
          <w:sz w:val="22"/>
        </w:rPr>
        <w:t>The Things Network</w:t>
      </w:r>
      <w:r>
        <w:rPr>
          <w:rFonts w:ascii="Arial" w:hAnsi="Arial" w:eastAsia="Arial Unicode MS" w:cs="Arial"/>
          <w:color w:val="243442"/>
          <w:sz w:val="22"/>
        </w:rPr>
        <w:t xml:space="preserve">。ChirpStack 使用 </w:t>
      </w:r>
      <w:r>
        <w:rPr>
          <w:rFonts w:ascii="Arial" w:hAnsi="Arial" w:eastAsia="Arial Unicode MS" w:cs="Arial"/>
          <w:b/>
          <w:color w:val="243442"/>
          <w:sz w:val="22"/>
        </w:rPr>
        <w:t>BasicStation LNS</w:t>
      </w:r>
      <w:r>
        <w:rPr>
          <w:rFonts w:ascii="Arial" w:hAnsi="Arial" w:eastAsia="Arial Unicode MS" w:cs="Arial"/>
          <w:color w:val="243442"/>
          <w:sz w:val="22"/>
        </w:rPr>
        <w:t xml:space="preserve">；TTN 可按部署方式选择 </w:t>
      </w:r>
      <w:r>
        <w:rPr>
          <w:rFonts w:ascii="Arial" w:hAnsi="Arial" w:eastAsia="Arial Unicode MS" w:cs="Arial"/>
          <w:b/>
          <w:color w:val="243442"/>
          <w:sz w:val="22"/>
        </w:rPr>
        <w:t>BasicStation LNS</w:t>
      </w:r>
      <w:r>
        <w:rPr>
          <w:rFonts w:ascii="Arial" w:hAnsi="Arial" w:eastAsia="Arial Unicode MS" w:cs="Arial"/>
          <w:color w:val="243442"/>
          <w:sz w:val="22"/>
        </w:rPr>
        <w:t xml:space="preserve"> 或 </w:t>
      </w:r>
      <w:r>
        <w:rPr>
          <w:rFonts w:ascii="Arial" w:hAnsi="Arial" w:eastAsia="Arial Unicode MS" w:cs="Arial"/>
          <w:b/>
          <w:color w:val="243442"/>
          <w:sz w:val="22"/>
        </w:rPr>
        <w:t>BasicStation CUPS</w:t>
      </w:r>
      <w:r>
        <w:rPr>
          <w:rFonts w:ascii="Arial" w:hAnsi="Arial" w:eastAsia="Arial Unicode MS" w:cs="Arial"/>
          <w:color w:val="243442"/>
          <w:sz w:val="22"/>
        </w:rPr>
        <w:t>。Basic Station 的连接地址填写在“服务器 URI”中，不使用 MQTT Broker 字段。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918193"/>
            <wp:docPr id="5" name="Picture 5" descr="gwTool7 中文 ChirpStack BasicStation LNS 配置" title="gwTool7 中文 ChirpStack BasicStation LNS 配置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4ea100efc3e3491bd8c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9181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gwTool7 中文 ChirpStack BasicStation LNS 配置</w:t>
      </w:r>
    </w:p>
    <w:p>
      <w:r>
        <w:rPr>
          <w:rFonts w:ascii="Arial" w:hAnsi="Arial" w:eastAsia="Arial Unicode MS" w:cs="Arial"/>
          <w:i/>
          <w:color w:val="243442"/>
          <w:sz w:val="22"/>
        </w:rPr>
        <w:t>图 3A：ChirpStack 的 BasicStation LNS 配置示例。地址为文档示例域名，证书字段保持为空。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918193"/>
            <wp:docPr id="6" name="Picture 6" descr="gwTool7 中文 TTN BasicStation LNS 配置" title="gwTool7 中文 TTN BasicStation LNS 配置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25381678159edb0d944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9181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gwTool7 中文 TTN BasicStation LNS 配置</w:t>
      </w:r>
    </w:p>
    <w:p>
      <w:r>
        <w:rPr>
          <w:rFonts w:ascii="Arial" w:hAnsi="Arial" w:eastAsia="Arial Unicode MS" w:cs="Arial"/>
          <w:i/>
          <w:color w:val="243442"/>
          <w:sz w:val="22"/>
        </w:rPr>
        <w:t>图 3B：TTN 的 BasicStation LNS 配置示例。实际 Server Address、信任证书和 Key 以 TTN Console 为准。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918193"/>
            <wp:docPr id="7" name="Picture 7" descr="gwTool7 中文 TTN BasicStation CUPS 配置" title="gwTool7 中文 TTN BasicStation CUPS 配置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8c5ebcbc4409427aacd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9181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gwTool7 中文 TTN BasicStation CUPS 配置</w:t>
      </w:r>
    </w:p>
    <w:p>
      <w:r>
        <w:rPr>
          <w:rFonts w:ascii="Arial" w:hAnsi="Arial" w:eastAsia="Arial Unicode MS" w:cs="Arial"/>
          <w:i/>
          <w:color w:val="243442"/>
          <w:sz w:val="22"/>
        </w:rPr>
        <w:t>图 3C：TTN 的 BasicStation CUPS 配置示例。CUPS 会向网关下发 LNS 参数。</w:t>
      </w:r>
    </w:p>
    <w:p>
      <w:r>
        <w:rPr>
          <w:rFonts w:ascii="Arial" w:hAnsi="Arial" w:eastAsia="Arial Unicode MS" w:cs="Arial"/>
          <w:b/>
          <w:color w:val="243442"/>
          <w:sz w:val="22"/>
        </w:rPr>
        <w:t>操作与确认：</w:t>
      </w:r>
    </w:p>
    <w:p>
      <w:pPr>
        <w:pStyle w:val="ListNumber"/>
        <w:numPr>
          <w:ilvl w:val="0"/>
          <w:numId w:val="12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记录现有 NS 配置，并确认目标平台提供的协议、地址、端口和凭据。</w:t>
      </w:r>
    </w:p>
    <w:p>
      <w:pPr>
        <w:pStyle w:val="ListNumber"/>
        <w:numPr>
          <w:ilvl w:val="0"/>
          <w:numId w:val="12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 xml:space="preserve">在 NS1 中选择供应商和协议，填写与协议对应的服务器参数。ChirpStack/TTN 的完整步骤分别参见 </w:t>
      </w:r>
      <w:hyperlink r:id="rId17">
        <w:r>
          <w:rPr>
            <w:rFonts w:ascii="Arial" w:hAnsi="Arial" w:eastAsia="Arial Unicode MS"/>
            <w:color w:val="1E6F9F"/>
            <w:u w:val="single"/>
          </w:rPr>
          <w:t>ChirpStack Basic Station 接入说明</w:t>
        </w:r>
      </w:hyperlink>
      <w:r>
        <w:rPr>
          <w:rFonts w:ascii="Arial" w:hAnsi="Arial" w:eastAsia="Arial Unicode MS" w:cs="Arial"/>
          <w:color w:val="243442"/>
          <w:sz w:val="22"/>
        </w:rPr>
        <w:t xml:space="preserve"> 和 </w:t>
      </w:r>
      <w:hyperlink r:id="rId18">
        <w:r>
          <w:rPr>
            <w:rFonts w:ascii="Arial" w:hAnsi="Arial" w:eastAsia="Arial Unicode MS"/>
            <w:color w:val="1E6F9F"/>
            <w:u w:val="single"/>
          </w:rPr>
          <w:t>TTN Basic Station 接入说明</w:t>
        </w:r>
      </w:hyperlink>
      <w:r>
        <w:rPr>
          <w:rFonts w:ascii="Arial" w:hAnsi="Arial" w:eastAsia="Arial Unicode MS" w:cs="Arial"/>
          <w:color w:val="243442"/>
          <w:sz w:val="22"/>
        </w:rPr>
        <w:t>。</w:t>
      </w:r>
    </w:p>
    <w:p>
      <w:pPr>
        <w:pStyle w:val="ListNumber"/>
        <w:numPr>
          <w:ilvl w:val="0"/>
          <w:numId w:val="12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密码留空通常表示保留原值；只有需要更换时才输入新密码。</w:t>
      </w:r>
    </w:p>
    <w:p>
      <w:pPr>
        <w:pStyle w:val="ListNumber"/>
        <w:numPr>
          <w:ilvl w:val="0"/>
          <w:numId w:val="12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保存后等待相关服务恢复，再到“报文监控”和平台侧确认上下行数据。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NS2、证书和部分模式控件在不同固件中的接线情况可能不同。不得仅凭控件可见就假定配置已经生效；保存后必须在流量页和平台侧复核。</w:t>
            </w:r>
          </w:p>
        </w:tc>
      </w:tr>
    </w:tbl>
    <w:p>
      <w:pPr>
        <w:spacing w:after="2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3.2 射频 Radio</w:t>
      </w:r>
    </w:p>
    <w:p>
      <w:r>
        <w:rPr>
          <w:rFonts w:ascii="Arial" w:hAnsi="Arial" w:eastAsia="Arial Unicode MS" w:cs="Arial"/>
          <w:b/>
          <w:color w:val="243442"/>
          <w:sz w:val="22"/>
        </w:rPr>
        <w:t>进入路径：</w:t>
      </w:r>
      <w:r>
        <w:rPr>
          <w:rFonts w:ascii="Arial" w:hAnsi="Arial" w:eastAsia="Arial Unicode MS" w:cs="Arial"/>
          <w:color w:val="243442"/>
          <w:sz w:val="22"/>
        </w:rPr>
        <w:t xml:space="preserve"> 左侧导航 → LORAWAN → 射频 Radio</w:t>
      </w:r>
    </w:p>
    <w:p>
      <w:r>
        <w:rPr>
          <w:rFonts w:ascii="Arial" w:hAnsi="Arial" w:eastAsia="Arial Unicode MS" w:cs="Arial"/>
          <w:color w:val="243442"/>
          <w:sz w:val="22"/>
        </w:rPr>
        <w:t>用于选择区域标准、设置保活与状态上报间隔，并配置射频链路的信道计划、中心频率、带宽和扩频因子。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849041"/>
            <wp:docPr id="8" name="Picture 8" descr="GD7 中文界面的射频配置页面" title="GD7 中文界面的射频配置页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49e8ce21f57ce73e878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8490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GD7 中文界面的射频配置页面</w:t>
      </w:r>
    </w:p>
    <w:p>
      <w:r>
        <w:rPr>
          <w:rFonts w:ascii="Arial" w:hAnsi="Arial" w:eastAsia="Arial Unicode MS" w:cs="Arial"/>
          <w:i/>
          <w:color w:val="243442"/>
          <w:sz w:val="22"/>
        </w:rPr>
        <w:t>图 4：AS923 示例信道计划。实际频点必须符合部署地法规和网络规划。</w:t>
      </w:r>
    </w:p>
    <w:p>
      <w:r>
        <w:rPr>
          <w:rFonts w:ascii="Arial" w:hAnsi="Arial" w:eastAsia="Arial Unicode MS" w:cs="Arial"/>
          <w:b/>
          <w:color w:val="243442"/>
          <w:sz w:val="22"/>
        </w:rPr>
        <w:t>操作与确认：</w:t>
      </w:r>
    </w:p>
    <w:p>
      <w:pPr>
        <w:pStyle w:val="ListNumber"/>
        <w:numPr>
          <w:ilvl w:val="0"/>
          <w:numId w:val="13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先确认部署国家或地区允许的 LoRaWAN 区域标准。</w:t>
      </w:r>
    </w:p>
    <w:p>
      <w:pPr>
        <w:pStyle w:val="ListNumber"/>
        <w:numPr>
          <w:ilvl w:val="0"/>
          <w:numId w:val="13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优先选择匹配的“频段计划”并使用“一键填入”，再按运营网络要求微调。</w:t>
      </w:r>
    </w:p>
    <w:p>
      <w:pPr>
        <w:pStyle w:val="ListNumber"/>
        <w:numPr>
          <w:ilvl w:val="0"/>
          <w:numId w:val="13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核对 RF1/RF2、单频道带宽、频率、扩频因子和各信道频点。</w:t>
      </w:r>
    </w:p>
    <w:p>
      <w:pPr>
        <w:pStyle w:val="ListNumber"/>
        <w:numPr>
          <w:ilvl w:val="0"/>
          <w:numId w:val="13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提交后等待数秒，重新读取页面，并通过终端设备入网和报文监控确认。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错误频点可能导致设备无法入网，并可能违反当地无线电规定。变更前保存原信道计划。</w:t>
            </w:r>
          </w:p>
        </w:tc>
      </w:tr>
    </w:tbl>
    <w:p>
      <w:pPr>
        <w:spacing w:after="2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3.3 报文监控</w:t>
      </w:r>
    </w:p>
    <w:p>
      <w:r>
        <w:rPr>
          <w:rFonts w:ascii="Arial" w:hAnsi="Arial" w:eastAsia="Arial Unicode MS" w:cs="Arial"/>
          <w:b/>
          <w:color w:val="243442"/>
          <w:sz w:val="22"/>
        </w:rPr>
        <w:t>进入路径：</w:t>
      </w:r>
      <w:r>
        <w:rPr>
          <w:rFonts w:ascii="Arial" w:hAnsi="Arial" w:eastAsia="Arial Unicode MS" w:cs="Arial"/>
          <w:color w:val="243442"/>
          <w:sz w:val="22"/>
        </w:rPr>
        <w:t xml:space="preserve"> 左侧导航 → LORAWAN → 报文监控</w:t>
      </w:r>
    </w:p>
    <w:p>
      <w:r>
        <w:rPr>
          <w:rFonts w:ascii="Arial" w:hAnsi="Arial" w:eastAsia="Arial Unicode MS" w:cs="Arial"/>
          <w:color w:val="243442"/>
          <w:sz w:val="22"/>
        </w:rPr>
        <w:t>用于实时观察上行和下行 LoRaWAN 报文。可按“全部、上行、下行”筛选，并展开记录查看原始报文与解析数据。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849041"/>
            <wp:docPr id="9" name="Picture 9" descr="GD7 中文界面的 LoRaWAN 报文监控页面" title="GD7 中文界面的 LoRaWAN 报文监控页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af9bb4c5939814006c4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8490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GD7 中文界面的 LoRaWAN 报文监控页面</w:t>
      </w:r>
    </w:p>
    <w:p>
      <w:r>
        <w:rPr>
          <w:rFonts w:ascii="Arial" w:hAnsi="Arial" w:eastAsia="Arial Unicode MS" w:cs="Arial"/>
          <w:i/>
          <w:color w:val="243442"/>
          <w:sz w:val="22"/>
        </w:rPr>
        <w:t>图 5：实时流量表的空闲状态；截图中不包含现场业务载荷。</w:t>
      </w:r>
    </w:p>
    <w:p>
      <w:r>
        <w:rPr>
          <w:rFonts w:ascii="Arial" w:hAnsi="Arial" w:eastAsia="Arial Unicode MS" w:cs="Arial"/>
          <w:b/>
          <w:color w:val="243442"/>
          <w:sz w:val="22"/>
        </w:rPr>
        <w:t>操作与确认：</w:t>
      </w:r>
    </w:p>
    <w:p>
      <w:pPr>
        <w:pStyle w:val="ListNumber"/>
        <w:numPr>
          <w:ilvl w:val="0"/>
          <w:numId w:val="14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保持页面打开，触发一个已知终端上报。</w:t>
      </w:r>
    </w:p>
    <w:p>
      <w:pPr>
        <w:pStyle w:val="ListNumber"/>
        <w:numPr>
          <w:ilvl w:val="0"/>
          <w:numId w:val="14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用方向筛选定位报文，核对时间、网关标识、方向和帧类型。</w:t>
      </w:r>
    </w:p>
    <w:p>
      <w:pPr>
        <w:pStyle w:val="ListNumber"/>
        <w:numPr>
          <w:ilvl w:val="0"/>
          <w:numId w:val="14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展开目标行查看原始数据和解析结果；需要重新观察时可先暂停，再清空当前列表。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报文可能包含设备标识和业务数据。导出或截图前必须按组织的数据分级要求脱敏。</w:t>
            </w:r>
          </w:p>
        </w:tc>
      </w:tr>
    </w:tbl>
    <w:p>
      <w:pPr>
        <w:spacing w:after="2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4. ThinkLink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4.1 ThinkLink 常规</w:t>
      </w:r>
    </w:p>
    <w:p>
      <w:r>
        <w:rPr>
          <w:rFonts w:ascii="Arial" w:hAnsi="Arial" w:eastAsia="Arial Unicode MS" w:cs="Arial"/>
          <w:b/>
          <w:color w:val="243442"/>
          <w:sz w:val="22"/>
        </w:rPr>
        <w:t>进入路径：</w:t>
      </w:r>
      <w:r>
        <w:rPr>
          <w:rFonts w:ascii="Arial" w:hAnsi="Arial" w:eastAsia="Arial Unicode MS" w:cs="Arial"/>
          <w:color w:val="243442"/>
          <w:sz w:val="22"/>
        </w:rPr>
        <w:t xml:space="preserve"> 左侧导航 → 本地服务器 THINKLINK → 常规</w:t>
      </w:r>
    </w:p>
    <w:p>
      <w:r>
        <w:rPr>
          <w:rFonts w:ascii="Arial" w:hAnsi="Arial" w:eastAsia="Arial Unicode MS" w:cs="Arial"/>
          <w:color w:val="243442"/>
          <w:sz w:val="22"/>
        </w:rPr>
        <w:t>用于启用本地 ThinkLink 服务、控制下行能力，并查看核心服务与本地连接状态。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849041"/>
            <wp:docPr id="10" name="Picture 10" descr="GD7 中文界面的 ThinkLink 常规页面" title="GD7 中文界面的 ThinkLink 常规页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abf89266ad3ff8a0eb1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8490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GD7 中文界面的 ThinkLink 常规页面</w:t>
      </w:r>
    </w:p>
    <w:p>
      <w:r>
        <w:rPr>
          <w:rFonts w:ascii="Arial" w:hAnsi="Arial" w:eastAsia="Arial Unicode MS" w:cs="Arial"/>
          <w:i/>
          <w:color w:val="243442"/>
          <w:sz w:val="22"/>
        </w:rPr>
        <w:t>图 6：本地服务开关、运行状态和连接信息；连接值已遮盖。</w:t>
      </w:r>
    </w:p>
    <w:p>
      <w:r>
        <w:rPr>
          <w:rFonts w:ascii="Arial" w:hAnsi="Arial" w:eastAsia="Arial Unicode MS" w:cs="Arial"/>
          <w:b/>
          <w:color w:val="243442"/>
          <w:sz w:val="22"/>
        </w:rPr>
        <w:t>操作与确认：</w:t>
      </w:r>
    </w:p>
    <w:p>
      <w:pPr>
        <w:pStyle w:val="ListNumber"/>
        <w:numPr>
          <w:ilvl w:val="0"/>
          <w:numId w:val="15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根据部署架构决定是否启用“本地服务器 ThinkLink”。</w:t>
      </w:r>
    </w:p>
    <w:p>
      <w:pPr>
        <w:pStyle w:val="ListNumber"/>
        <w:numPr>
          <w:ilvl w:val="0"/>
          <w:numId w:val="15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仅在业务确实需要向终端下发数据时启用“允许下行”。</w:t>
      </w:r>
    </w:p>
    <w:p>
      <w:pPr>
        <w:pStyle w:val="ListNumber"/>
        <w:numPr>
          <w:ilvl w:val="0"/>
          <w:numId w:val="15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 xml:space="preserve">刷新运行状态，确认 </w:t>
      </w:r>
      <w:r>
        <w:rPr>
          <w:rFonts w:ascii="Menlo" w:hAnsi="Menlo" w:eastAsia="Arial Unicode MS" w:cs="Menlo"/>
          <w:color w:val="18324A"/>
          <w:sz w:val="21"/>
        </w:rPr>
        <w:t>lws-thinkOne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tkl-main</w:t>
      </w:r>
      <w:r>
        <w:rPr>
          <w:rFonts w:ascii="Arial" w:hAnsi="Arial" w:eastAsia="Arial Unicode MS" w:cs="Arial"/>
          <w:color w:val="243442"/>
          <w:sz w:val="22"/>
        </w:rPr>
        <w:t xml:space="preserve"> 及桥接服务符合设计。</w:t>
      </w:r>
    </w:p>
    <w:p>
      <w:pPr>
        <w:pStyle w:val="ListNumber"/>
        <w:numPr>
          <w:ilvl w:val="0"/>
          <w:numId w:val="15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进入 ThinkLink 平台后，再验证设备、告警和数据处理是否正常。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切换本地服务器角色会改变数据处理路径。保存前确认远端平台和本地服务的职责边界。</w:t>
            </w:r>
          </w:p>
        </w:tc>
      </w:tr>
    </w:tbl>
    <w:p>
      <w:pPr>
        <w:spacing w:after="2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4.2 ThinkLink 高级功能</w:t>
      </w:r>
    </w:p>
    <w:p>
      <w:r>
        <w:rPr>
          <w:rFonts w:ascii="Arial" w:hAnsi="Arial" w:eastAsia="Arial Unicode MS" w:cs="Arial"/>
          <w:b/>
          <w:color w:val="243442"/>
          <w:sz w:val="22"/>
        </w:rPr>
        <w:t>进入路径：</w:t>
      </w:r>
      <w:r>
        <w:rPr>
          <w:rFonts w:ascii="Arial" w:hAnsi="Arial" w:eastAsia="Arial Unicode MS" w:cs="Arial"/>
          <w:color w:val="243442"/>
          <w:sz w:val="22"/>
        </w:rPr>
        <w:t xml:space="preserve"> 左侧导航 → 本地服务器 THINKLINK → 高级功能</w:t>
      </w:r>
    </w:p>
    <w:p>
      <w:r>
        <w:rPr>
          <w:rFonts w:ascii="Arial" w:hAnsi="Arial" w:eastAsia="Arial Unicode MS" w:cs="Arial"/>
          <w:color w:val="243442"/>
          <w:sz w:val="22"/>
        </w:rPr>
        <w:t>用于配置本地服务器角色、Broker、证书和平台参数。该页面面向熟悉 ThinkLink 架构的工程师。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231288"/>
            <wp:docPr id="11" name="Picture 11" descr="GD7 中文界面的 ThinkLink 高级功能页面" title="GD7 中文界面的 ThinkLink 高级功能页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6866b84ebe19965dc0c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2312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GD7 中文界面的 ThinkLink 高级功能页面</w:t>
      </w:r>
    </w:p>
    <w:p>
      <w:r>
        <w:rPr>
          <w:rFonts w:ascii="Arial" w:hAnsi="Arial" w:eastAsia="Arial Unicode MS" w:cs="Arial"/>
          <w:i/>
          <w:color w:val="243442"/>
          <w:sz w:val="22"/>
        </w:rPr>
        <w:t>图 7：角色和 Broker 配置；地址、用户名与密码区域已遮盖。</w:t>
      </w:r>
    </w:p>
    <w:p>
      <w:r>
        <w:rPr>
          <w:rFonts w:ascii="Arial" w:hAnsi="Arial" w:eastAsia="Arial Unicode MS" w:cs="Arial"/>
          <w:b/>
          <w:color w:val="243442"/>
          <w:sz w:val="22"/>
        </w:rPr>
        <w:t>操作与确认：</w:t>
      </w:r>
    </w:p>
    <w:p>
      <w:pPr>
        <w:pStyle w:val="ListNumber"/>
        <w:numPr>
          <w:ilvl w:val="0"/>
          <w:numId w:val="16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按架构选择叶子、根节点、下行、自动禁用和密钥生成等角色。</w:t>
      </w:r>
    </w:p>
    <w:p>
      <w:pPr>
        <w:pStyle w:val="ListNumber"/>
        <w:numPr>
          <w:ilvl w:val="0"/>
          <w:numId w:val="16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填写 Broker 地址和账号；启用 TLS 时一并核对 CA、客户端证书和密钥。</w:t>
      </w:r>
    </w:p>
    <w:p>
      <w:pPr>
        <w:pStyle w:val="ListNumber"/>
        <w:numPr>
          <w:ilvl w:val="0"/>
          <w:numId w:val="16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保存后按页面提示重启相应 ThinkLink 服务，再检查常规页运行状态。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角色组合存在依赖关系。未经方案设计，不要改变被锁定或互斥的角色，也不要在生产设备上试填 Broker 凭据。</w:t>
            </w:r>
          </w:p>
        </w:tc>
      </w:tr>
    </w:tbl>
    <w:p>
      <w:pPr>
        <w:spacing w:after="2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5. COM 串口业务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5.1 COM 常规</w:t>
      </w:r>
    </w:p>
    <w:p>
      <w:r>
        <w:rPr>
          <w:rFonts w:ascii="Arial" w:hAnsi="Arial" w:eastAsia="Arial Unicode MS" w:cs="Arial"/>
          <w:b/>
          <w:color w:val="243442"/>
          <w:sz w:val="22"/>
        </w:rPr>
        <w:t>进入路径：</w:t>
      </w:r>
      <w:r>
        <w:rPr>
          <w:rFonts w:ascii="Arial" w:hAnsi="Arial" w:eastAsia="Arial Unicode MS" w:cs="Arial"/>
          <w:color w:val="243442"/>
          <w:sz w:val="22"/>
        </w:rPr>
        <w:t xml:space="preserve"> 左侧导航 → COM 配置 → 常规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用于配置串口设备路径、波特率、数据位、停止位和校验位，并查看 </w:t>
      </w:r>
      <w:r>
        <w:rPr>
          <w:rFonts w:ascii="Menlo" w:hAnsi="Menlo" w:eastAsia="Arial Unicode MS" w:cs="Menlo"/>
          <w:color w:val="18324A"/>
          <w:sz w:val="21"/>
        </w:rPr>
        <w:t>gw-serial</w:t>
      </w:r>
      <w:r>
        <w:rPr>
          <w:rFonts w:ascii="Arial" w:hAnsi="Arial" w:eastAsia="Arial Unicode MS" w:cs="Arial"/>
          <w:color w:val="243442"/>
          <w:sz w:val="22"/>
        </w:rPr>
        <w:t xml:space="preserve"> 服务状态。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849041"/>
            <wp:docPr id="12" name="Picture 12" descr="GD7 中文界面的 COM 常规页面" title="GD7 中文界面的 COM 常规页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f7bcc9247d842f553f6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8490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GD7 中文界面的 COM 常规页面</w:t>
      </w:r>
    </w:p>
    <w:p>
      <w:r>
        <w:rPr>
          <w:rFonts w:ascii="Arial" w:hAnsi="Arial" w:eastAsia="Arial Unicode MS" w:cs="Arial"/>
          <w:i/>
          <w:color w:val="243442"/>
          <w:sz w:val="22"/>
        </w:rPr>
        <w:t>图 8：串口参数和服务状态。截图采集时服务处于停止状态，未执行启动操作。</w:t>
      </w:r>
    </w:p>
    <w:p>
      <w:r>
        <w:rPr>
          <w:rFonts w:ascii="Arial" w:hAnsi="Arial" w:eastAsia="Arial Unicode MS" w:cs="Arial"/>
          <w:b/>
          <w:color w:val="243442"/>
          <w:sz w:val="22"/>
        </w:rPr>
        <w:t>操作与确认：</w:t>
      </w:r>
    </w:p>
    <w:p>
      <w:pPr>
        <w:pStyle w:val="ListNumber"/>
        <w:numPr>
          <w:ilvl w:val="0"/>
          <w:numId w:val="17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根据连接设备说明书确定串口路径和通信参数。</w:t>
      </w:r>
    </w:p>
    <w:p>
      <w:pPr>
        <w:pStyle w:val="ListNumber"/>
        <w:numPr>
          <w:ilvl w:val="0"/>
          <w:numId w:val="17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逐项核对波特率、数据位、停止位和校验位后保存。</w:t>
      </w:r>
    </w:p>
    <w:p>
      <w:pPr>
        <w:pStyle w:val="ListNumber"/>
        <w:numPr>
          <w:ilvl w:val="0"/>
          <w:numId w:val="17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保存可能自动重启串口服务；刷新状态，确认串口已打开且服务运行正常。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参数不匹配会产生超时、乱码或错误帧。变更前记录原参数，且不要让多个服务同时占用同一串口。</w:t>
            </w:r>
          </w:p>
        </w:tc>
      </w:tr>
    </w:tbl>
    <w:p>
      <w:pPr>
        <w:spacing w:after="2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5.2 轮询抄表</w:t>
      </w:r>
    </w:p>
    <w:p>
      <w:r>
        <w:rPr>
          <w:rFonts w:ascii="Arial" w:hAnsi="Arial" w:eastAsia="Arial Unicode MS" w:cs="Arial"/>
          <w:b/>
          <w:color w:val="243442"/>
          <w:sz w:val="22"/>
        </w:rPr>
        <w:t>进入路径：</w:t>
      </w:r>
      <w:r>
        <w:rPr>
          <w:rFonts w:ascii="Arial" w:hAnsi="Arial" w:eastAsia="Arial Unicode MS" w:cs="Arial"/>
          <w:color w:val="243442"/>
          <w:sz w:val="22"/>
        </w:rPr>
        <w:t xml:space="preserve"> 左侧导航 → COM 配置 → 轮询抄表</w:t>
      </w:r>
    </w:p>
    <w:p>
      <w:r>
        <w:rPr>
          <w:rFonts w:ascii="Arial" w:hAnsi="Arial" w:eastAsia="Arial Unicode MS" w:cs="Arial"/>
          <w:color w:val="243442"/>
          <w:sz w:val="22"/>
        </w:rPr>
        <w:t>用于管理周期任务和 Modbus 轮询器。任务可使用固定间隔或 cron 表达式，并携带 JSON 参数。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849041"/>
            <wp:docPr id="13" name="Picture 13" descr="GD7 中文界面的 COM 轮询抄表页面" title="GD7 中文界面的 COM 轮询抄表页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867121fb92ceba9ee49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8490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GD7 中文界面的 COM 轮询抄表页面</w:t>
      </w:r>
    </w:p>
    <w:p>
      <w:r>
        <w:rPr>
          <w:rFonts w:ascii="Arial" w:hAnsi="Arial" w:eastAsia="Arial Unicode MS" w:cs="Arial"/>
          <w:i/>
          <w:color w:val="243442"/>
          <w:sz w:val="22"/>
        </w:rPr>
        <w:t>图 9：心跳与轮询任务列表；现场任务名称和负载已遮盖。</w:t>
      </w:r>
    </w:p>
    <w:p>
      <w:r>
        <w:rPr>
          <w:rFonts w:ascii="Arial" w:hAnsi="Arial" w:eastAsia="Arial Unicode MS" w:cs="Arial"/>
          <w:b/>
          <w:color w:val="243442"/>
          <w:sz w:val="22"/>
        </w:rPr>
        <w:t>操作与确认：</w:t>
      </w:r>
    </w:p>
    <w:p>
      <w:pPr>
        <w:pStyle w:val="ListNumber"/>
        <w:numPr>
          <w:ilvl w:val="0"/>
          <w:numId w:val="18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明确从站地址、功能码、寄存器和轮询周期，先在测试环境验证请求帧。</w:t>
      </w:r>
    </w:p>
    <w:p>
      <w:pPr>
        <w:pStyle w:val="ListNumber"/>
        <w:numPr>
          <w:ilvl w:val="0"/>
          <w:numId w:val="18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新建或编辑轮询器，填写任务名、固定间隔或 cron，以及 JSON 参数。</w:t>
      </w:r>
    </w:p>
    <w:p>
      <w:pPr>
        <w:pStyle w:val="ListNumber"/>
        <w:numPr>
          <w:ilvl w:val="0"/>
          <w:numId w:val="18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保存后检查任务是否启用，并在“MODBUS 记录”中确认请求和响应。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过短轮询周期可能占满串口或影响从站。删除、停用和修改任务前应确认没有其他业务依赖。</w:t>
            </w:r>
          </w:p>
        </w:tc>
      </w:tr>
    </w:tbl>
    <w:p>
      <w:pPr>
        <w:spacing w:after="2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5.3 MODBUS 记录</w:t>
      </w:r>
    </w:p>
    <w:p>
      <w:r>
        <w:rPr>
          <w:rFonts w:ascii="Arial" w:hAnsi="Arial" w:eastAsia="Arial Unicode MS" w:cs="Arial"/>
          <w:b/>
          <w:color w:val="243442"/>
          <w:sz w:val="22"/>
        </w:rPr>
        <w:t>进入路径：</w:t>
      </w:r>
      <w:r>
        <w:rPr>
          <w:rFonts w:ascii="Arial" w:hAnsi="Arial" w:eastAsia="Arial Unicode MS" w:cs="Arial"/>
          <w:color w:val="243442"/>
          <w:sz w:val="22"/>
        </w:rPr>
        <w:t xml:space="preserve"> 左侧导航 → COM 配置 → MODBUS 记录</w:t>
      </w:r>
    </w:p>
    <w:p>
      <w:r>
        <w:rPr>
          <w:rFonts w:ascii="Arial" w:hAnsi="Arial" w:eastAsia="Arial Unicode MS" w:cs="Arial"/>
          <w:color w:val="243442"/>
          <w:sz w:val="22"/>
        </w:rPr>
        <w:t>用于查看网关最近缓存的串口请求帧和响应帧，辅助判断超时、异常响应和协议参数错误。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849041"/>
            <wp:docPr id="14" name="Picture 14" descr="GD7 中文界面的 MODBUS 记录页面" title="GD7 中文界面的 MODBUS 记录页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e1ac044edc0e67c030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8490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GD7 中文界面的 MODBUS 记录页面</w:t>
      </w:r>
    </w:p>
    <w:p>
      <w:r>
        <w:rPr>
          <w:rFonts w:ascii="Arial" w:hAnsi="Arial" w:eastAsia="Arial Unicode MS" w:cs="Arial"/>
          <w:i/>
          <w:color w:val="243442"/>
          <w:sz w:val="22"/>
        </w:rPr>
        <w:t>图 10：无近期记录时的页面状态。</w:t>
      </w:r>
    </w:p>
    <w:p>
      <w:r>
        <w:rPr>
          <w:rFonts w:ascii="Arial" w:hAnsi="Arial" w:eastAsia="Arial Unicode MS" w:cs="Arial"/>
          <w:b/>
          <w:color w:val="243442"/>
          <w:sz w:val="22"/>
        </w:rPr>
        <w:t>操作与确认：</w:t>
      </w:r>
    </w:p>
    <w:p>
      <w:pPr>
        <w:pStyle w:val="ListNumber"/>
        <w:numPr>
          <w:ilvl w:val="0"/>
          <w:numId w:val="19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先确认 COM 服务和目标轮询器已按授权运行。</w:t>
      </w:r>
    </w:p>
    <w:p>
      <w:pPr>
        <w:pStyle w:val="ListNumber"/>
        <w:numPr>
          <w:ilvl w:val="0"/>
          <w:numId w:val="19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刷新列表，按时间对应请求帧与响应帧。</w:t>
      </w:r>
    </w:p>
    <w:p>
      <w:pPr>
        <w:pStyle w:val="ListNumber"/>
        <w:numPr>
          <w:ilvl w:val="0"/>
          <w:numId w:val="19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记录异常帧并对照从站协议；该页只保留少量近期记录，重启后可能清空。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5.4 COM 高级</w:t>
      </w:r>
    </w:p>
    <w:p>
      <w:r>
        <w:rPr>
          <w:rFonts w:ascii="Arial" w:hAnsi="Arial" w:eastAsia="Arial Unicode MS" w:cs="Arial"/>
          <w:b/>
          <w:color w:val="243442"/>
          <w:sz w:val="22"/>
        </w:rPr>
        <w:t>进入路径：</w:t>
      </w:r>
      <w:r>
        <w:rPr>
          <w:rFonts w:ascii="Arial" w:hAnsi="Arial" w:eastAsia="Arial Unicode MS" w:cs="Arial"/>
          <w:color w:val="243442"/>
          <w:sz w:val="22"/>
        </w:rPr>
        <w:t xml:space="preserve"> 左侧导航 → COM 配置 → 高级</w:t>
      </w:r>
    </w:p>
    <w:p>
      <w:r>
        <w:rPr>
          <w:rFonts w:ascii="Arial" w:hAnsi="Arial" w:eastAsia="Arial Unicode MS" w:cs="Arial"/>
          <w:color w:val="243442"/>
          <w:sz w:val="22"/>
        </w:rPr>
        <w:t>用于配置 MQTT 连接、串口时序、队列上限、日志级别、设备属性和解析脚本。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849041"/>
            <wp:docPr id="15" name="Picture 15" descr="GD7 中文界面的 COM 高级页面" title="GD7 中文界面的 COM 高级页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5669ddef4fa4fa524e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8490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GD7 中文界面的 COM 高级页面</w:t>
      </w:r>
    </w:p>
    <w:p>
      <w:r>
        <w:rPr>
          <w:rFonts w:ascii="Arial" w:hAnsi="Arial" w:eastAsia="Arial Unicode MS" w:cs="Arial"/>
          <w:i/>
          <w:color w:val="243442"/>
          <w:sz w:val="22"/>
        </w:rPr>
        <w:t>图 11：MQTT 与串口时序设置；Broker、用户名和密码区域已遮盖。</w:t>
      </w:r>
    </w:p>
    <w:p>
      <w:r>
        <w:rPr>
          <w:rFonts w:ascii="Arial" w:hAnsi="Arial" w:eastAsia="Arial Unicode MS" w:cs="Arial"/>
          <w:b/>
          <w:color w:val="243442"/>
          <w:sz w:val="22"/>
        </w:rPr>
        <w:t>操作与确认：</w:t>
      </w:r>
    </w:p>
    <w:p>
      <w:pPr>
        <w:pStyle w:val="ListNumber"/>
        <w:numPr>
          <w:ilvl w:val="0"/>
          <w:numId w:val="20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记录当前 Broker、重连间隔、超时和队列参数。</w:t>
      </w:r>
    </w:p>
    <w:p>
      <w:pPr>
        <w:pStyle w:val="ListNumber"/>
        <w:numPr>
          <w:ilvl w:val="0"/>
          <w:numId w:val="20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修改 MQTT 地址或凭据时同步确认 TLS、ACL 和上游服务配置。</w:t>
      </w:r>
    </w:p>
    <w:p>
      <w:pPr>
        <w:pStyle w:val="ListNumber"/>
        <w:numPr>
          <w:ilvl w:val="0"/>
          <w:numId w:val="20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修改时序、脚本或属性后保存，并等待服务重启。</w:t>
      </w:r>
    </w:p>
    <w:p>
      <w:pPr>
        <w:pStyle w:val="ListNumber"/>
        <w:numPr>
          <w:ilvl w:val="0"/>
          <w:numId w:val="20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在服务状态、MODBUS 记录和上游 Broker 三处共同确认结果。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高级参数和解析脚本可影响全部串口业务。没有回退文件和测试结果时不要修改。</w:t>
            </w:r>
          </w:p>
        </w:tc>
      </w:tr>
    </w:tbl>
    <w:p>
      <w:pPr>
        <w:spacing w:after="2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6. 网络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6.1 网络状态</w:t>
      </w:r>
    </w:p>
    <w:p>
      <w:r>
        <w:rPr>
          <w:rFonts w:ascii="Arial" w:hAnsi="Arial" w:eastAsia="Arial Unicode MS" w:cs="Arial"/>
          <w:b/>
          <w:color w:val="243442"/>
          <w:sz w:val="22"/>
        </w:rPr>
        <w:t>进入路径：</w:t>
      </w:r>
      <w:r>
        <w:rPr>
          <w:rFonts w:ascii="Arial" w:hAnsi="Arial" w:eastAsia="Arial Unicode MS" w:cs="Arial"/>
          <w:color w:val="243442"/>
          <w:sz w:val="22"/>
        </w:rPr>
        <w:t xml:space="preserve"> 左侧导航 → 网络 NETWORK → 网络状态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页面用途</w:t>
      </w:r>
    </w:p>
    <w:p>
      <w:r>
        <w:rPr>
          <w:rFonts w:ascii="Arial" w:hAnsi="Arial" w:eastAsia="Arial Unicode MS" w:cs="Arial"/>
          <w:color w:val="243442"/>
          <w:sz w:val="22"/>
        </w:rPr>
        <w:t>网络状态页用于查看有线、Wi-Fi、蜂窝三类网络的连接状态和当前生效接口，并提供各网络配置页的快捷入口。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1793328"/>
            <wp:docPr id="16" name="Picture 16" descr="GD7 中文界面的网络状态页面" title="GD7 中文界面的网络状态页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7e4f525551547eddb54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179332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GD7 中文界面的网络状态页面</w:t>
      </w:r>
    </w:p>
    <w:p>
      <w:r>
        <w:rPr>
          <w:rFonts w:ascii="Arial" w:hAnsi="Arial" w:eastAsia="Arial Unicode MS" w:cs="Arial"/>
          <w:i/>
          <w:color w:val="243442"/>
          <w:sz w:val="22"/>
        </w:rPr>
        <w:t>图 12：网络状态页的连接概览和网卡列表。当前地址、MAC 地址等现场信息未包含在截图中。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关键字段与控件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字段或控件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说明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已连接 / 未连接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当前链路是否已建立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当前 IP / 热点 IP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当前生效地址；仅在授权范围内记录或分享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进入设置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跳转到对应网络的配置页面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全部网卡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汇总接口名称、状态、MAC 地址和 IPv4 地址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刷新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重新获取页面状态，不修改配置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操作与确认</w:t>
      </w:r>
    </w:p>
    <w:p>
      <w:pPr>
        <w:pStyle w:val="ListNumber"/>
        <w:numPr>
          <w:ilvl w:val="0"/>
          <w:numId w:val="21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查看顶部三张网络卡片，确认预期链路显示为“已连接”。</w:t>
      </w:r>
    </w:p>
    <w:p>
      <w:pPr>
        <w:pStyle w:val="ListNumber"/>
        <w:numPr>
          <w:ilvl w:val="0"/>
          <w:numId w:val="21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 xml:space="preserve">在“全部网卡”中核对对应接口状态是否为 </w:t>
      </w:r>
      <w:r>
        <w:rPr>
          <w:rFonts w:ascii="Menlo" w:hAnsi="Menlo" w:eastAsia="Arial Unicode MS" w:cs="Menlo"/>
          <w:color w:val="18324A"/>
          <w:sz w:val="21"/>
        </w:rPr>
        <w:t>UP</w:t>
      </w:r>
      <w:r>
        <w:rPr>
          <w:rFonts w:ascii="Arial" w:hAnsi="Arial" w:eastAsia="Arial Unicode MS" w:cs="Arial"/>
          <w:color w:val="243442"/>
          <w:sz w:val="22"/>
        </w:rPr>
        <w:t>。</w:t>
      </w:r>
    </w:p>
    <w:p>
      <w:pPr>
        <w:pStyle w:val="ListNumber"/>
        <w:numPr>
          <w:ilvl w:val="0"/>
          <w:numId w:val="21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选择“刷新”，确认状态能够正常更新。</w:t>
      </w:r>
    </w:p>
    <w:p>
      <w:pPr>
        <w:pStyle w:val="ListNumber"/>
        <w:numPr>
          <w:ilvl w:val="0"/>
          <w:numId w:val="21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仅在需要调整某类网络时选择“进入设置”。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异常处理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卡片显示未连接：检查线缆、无线信号、SIM/套餐和上游网络，再刷新页面。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卡片与网卡列表不一致：等待数秒后刷新；仍不一致时记录截图和发生时间。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不确定哪条链路正在承载业务：不要直接禁用接口，应先核对主链路和现场拓扑。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6.2 有线网口</w:t>
      </w:r>
    </w:p>
    <w:p>
      <w:r>
        <w:rPr>
          <w:rFonts w:ascii="Arial" w:hAnsi="Arial" w:eastAsia="Arial Unicode MS" w:cs="Arial"/>
          <w:b/>
          <w:color w:val="243442"/>
          <w:sz w:val="22"/>
        </w:rPr>
        <w:t>进入路径：</w:t>
      </w:r>
      <w:r>
        <w:rPr>
          <w:rFonts w:ascii="Arial" w:hAnsi="Arial" w:eastAsia="Arial Unicode MS" w:cs="Arial"/>
          <w:color w:val="243442"/>
          <w:sz w:val="22"/>
        </w:rPr>
        <w:t xml:space="preserve"> 左侧导航 → 网络 NETWORK → 有线网口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页面用途</w:t>
      </w:r>
    </w:p>
    <w:p>
      <w:r>
        <w:rPr>
          <w:rFonts w:ascii="Arial" w:hAnsi="Arial" w:eastAsia="Arial Unicode MS" w:cs="Arial"/>
          <w:color w:val="243442"/>
          <w:sz w:val="22"/>
        </w:rPr>
        <w:t>有线网口页用于启用或停用以太网接口，并在 DHCP 自动获取与静态地址之间选择配置方式。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102205"/>
            <wp:docPr id="17" name="Picture 17" descr="GD7 中文界面的有线网口页面" title="GD7 中文界面的有线网口页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etwork-ethernet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1022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GD7 中文界面的有线网口页面</w:t>
      </w:r>
    </w:p>
    <w:p>
      <w:r>
        <w:rPr>
          <w:rFonts w:ascii="Arial" w:hAnsi="Arial" w:eastAsia="Arial Unicode MS" w:cs="Arial"/>
          <w:i/>
          <w:color w:val="243442"/>
          <w:sz w:val="22"/>
        </w:rPr>
        <w:t>图 13：有线网口页的启用开关和地址模式。截图裁掉了现场正在使用的地址参数。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关键字段与控件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字段或控件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说明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启用有线网络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控制有线接口是否参与网络连接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DHCP 自动获取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从上游 DHCP 服务器获取地址、网关和 DNS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静态地址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手动填写 IP 地址、子网掩码、网关和 DNS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当前生效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显示当前实际生效的网络参数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保存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提交本页修改；可能导致管理连接中断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DHCP 配置</w:t>
      </w:r>
    </w:p>
    <w:p>
      <w:pPr>
        <w:pStyle w:val="ListNumber"/>
        <w:numPr>
          <w:ilvl w:val="0"/>
          <w:numId w:val="22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确认上游网络提供 DHCP 服务。</w:t>
      </w:r>
    </w:p>
    <w:p>
      <w:pPr>
        <w:pStyle w:val="ListNumber"/>
        <w:numPr>
          <w:ilvl w:val="0"/>
          <w:numId w:val="22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保持“启用有线网络”开启。</w:t>
      </w:r>
    </w:p>
    <w:p>
      <w:pPr>
        <w:pStyle w:val="ListNumber"/>
        <w:numPr>
          <w:ilvl w:val="0"/>
          <w:numId w:val="22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选择“DHCP 自动获取”。</w:t>
      </w:r>
    </w:p>
    <w:p>
      <w:pPr>
        <w:pStyle w:val="ListNumber"/>
        <w:numPr>
          <w:ilvl w:val="0"/>
          <w:numId w:val="22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保存前记录当前管理地址，并准备从 DHCP 租约表查找新地址。</w:t>
      </w:r>
    </w:p>
    <w:p>
      <w:pPr>
        <w:pStyle w:val="ListNumber"/>
        <w:numPr>
          <w:ilvl w:val="0"/>
          <w:numId w:val="22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保存后重新打开管理页面，在“网络状态”中确认有线网络已连接。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静态地址配置</w:t>
      </w:r>
    </w:p>
    <w:p>
      <w:pPr>
        <w:pStyle w:val="ListNumber"/>
        <w:numPr>
          <w:ilvl w:val="0"/>
          <w:numId w:val="23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向网络管理员确认未占用的 IP 地址、掩码、默认网关和 DNS。</w:t>
      </w:r>
    </w:p>
    <w:p>
      <w:pPr>
        <w:pStyle w:val="ListNumber"/>
        <w:numPr>
          <w:ilvl w:val="0"/>
          <w:numId w:val="23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选择“静态地址”，按现场网络规划填写全部必填项。</w:t>
      </w:r>
    </w:p>
    <w:p>
      <w:pPr>
        <w:pStyle w:val="ListNumber"/>
        <w:numPr>
          <w:ilvl w:val="0"/>
          <w:numId w:val="23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再次核对地址和网关是否属于同一可达网络。</w:t>
      </w:r>
    </w:p>
    <w:p>
      <w:pPr>
        <w:pStyle w:val="ListNumber"/>
        <w:numPr>
          <w:ilvl w:val="0"/>
          <w:numId w:val="23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保存后使用新地址重新访问管理页面，并在“当前生效”区域复核参数。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修改管理口地址、关闭有线网络或填写错误网关，都可能立即中断当前会话。远程操作前必须准备备用接入方式或现场恢复人员。</w:t>
            </w:r>
          </w:p>
        </w:tc>
      </w:tr>
    </w:tbl>
    <w:p>
      <w:pPr>
        <w:spacing w:after="2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6.3 Wi-Fi</w:t>
      </w:r>
    </w:p>
    <w:p>
      <w:r>
        <w:rPr>
          <w:rFonts w:ascii="Arial" w:hAnsi="Arial" w:eastAsia="Arial Unicode MS" w:cs="Arial"/>
          <w:b/>
          <w:color w:val="243442"/>
          <w:sz w:val="22"/>
        </w:rPr>
        <w:t>进入路径：</w:t>
      </w:r>
      <w:r>
        <w:rPr>
          <w:rFonts w:ascii="Arial" w:hAnsi="Arial" w:eastAsia="Arial Unicode MS" w:cs="Arial"/>
          <w:color w:val="243442"/>
          <w:sz w:val="22"/>
        </w:rPr>
        <w:t xml:space="preserve"> 左侧导航 → 网络 NETWORK → Wi-Fi</w:t>
      </w:r>
    </w:p>
    <w:p>
      <w:r>
        <w:rPr>
          <w:rFonts w:ascii="Arial" w:hAnsi="Arial" w:eastAsia="Arial Unicode MS" w:cs="Arial"/>
          <w:color w:val="243442"/>
          <w:sz w:val="22"/>
        </w:rPr>
        <w:t>用于在热点（AP）、客户端（Client）和关闭三种模式之间切换，并配置无线安全、NAT 和有线扩展。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849041"/>
            <wp:docPr id="18" name="Picture 18" descr="GD7 中文界面的 Wi-Fi 页面" title="GD7 中文界面的 Wi-Fi 页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b8c83d0f1dcba0d638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8490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GD7 中文界面的 Wi-Fi 页面</w:t>
      </w:r>
    </w:p>
    <w:p>
      <w:r>
        <w:rPr>
          <w:rFonts w:ascii="Arial" w:hAnsi="Arial" w:eastAsia="Arial Unicode MS" w:cs="Arial"/>
          <w:i/>
          <w:color w:val="243442"/>
          <w:sz w:val="22"/>
        </w:rPr>
        <w:t>图 14：热点模式配置；SSID、密码、热点地址和 MAC 已遮盖。</w:t>
      </w:r>
    </w:p>
    <w:p>
      <w:r>
        <w:rPr>
          <w:rFonts w:ascii="Arial" w:hAnsi="Arial" w:eastAsia="Arial Unicode MS" w:cs="Arial"/>
          <w:b/>
          <w:color w:val="243442"/>
          <w:sz w:val="22"/>
        </w:rPr>
        <w:t>模式说明：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热点（AP）：网关发布无线网络，供现场设备接入。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客户端（Client）：网关连接上级 Wi-Fi；应核对 SSID、BSSID、信号和加密方式。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关闭：同时停用热点与客户端模式。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NAT 与有线扩展：按拓扑决定是否转发流量，以及使用 DHCP 或静态地址。</w:t>
      </w:r>
    </w:p>
    <w:p>
      <w:r>
        <w:rPr>
          <w:rFonts w:ascii="Arial" w:hAnsi="Arial" w:eastAsia="Arial Unicode MS" w:cs="Arial"/>
          <w:b/>
          <w:color w:val="243442"/>
          <w:sz w:val="22"/>
        </w:rPr>
        <w:t>操作与确认：</w:t>
      </w:r>
    </w:p>
    <w:p>
      <w:pPr>
        <w:pStyle w:val="ListNumber"/>
        <w:numPr>
          <w:ilvl w:val="0"/>
          <w:numId w:val="24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保留一条可用的有线管理路径并记录原配置。</w:t>
      </w:r>
    </w:p>
    <w:p>
      <w:pPr>
        <w:pStyle w:val="ListNumber"/>
        <w:numPr>
          <w:ilvl w:val="0"/>
          <w:numId w:val="24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选择模式，填写 SSID、加密方式和密码；开放网络不建议用于生产环境。</w:t>
      </w:r>
    </w:p>
    <w:p>
      <w:pPr>
        <w:pStyle w:val="ListNumber"/>
        <w:numPr>
          <w:ilvl w:val="0"/>
          <w:numId w:val="24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按需设置 NAT 和有线扩展，阅读断链提示后保存。</w:t>
      </w:r>
    </w:p>
    <w:p>
      <w:pPr>
        <w:pStyle w:val="ListNumber"/>
        <w:numPr>
          <w:ilvl w:val="0"/>
          <w:numId w:val="24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通过备用路径重新进入页面，刷新并核对模式、接口状态、地址和收发计数。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修改模式、SSID、密钥、NAT 或地址可能立即中断当前会话。失联时应从备用有线网络恢复原设置。</w:t>
            </w:r>
          </w:p>
        </w:tc>
      </w:tr>
    </w:tbl>
    <w:p>
      <w:pPr>
        <w:spacing w:after="2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6.4 蓝牙</w:t>
      </w:r>
    </w:p>
    <w:p>
      <w:r>
        <w:rPr>
          <w:rFonts w:ascii="Arial" w:hAnsi="Arial" w:eastAsia="Arial Unicode MS" w:cs="Arial"/>
          <w:b/>
          <w:color w:val="243442"/>
          <w:sz w:val="22"/>
        </w:rPr>
        <w:t>进入路径：</w:t>
      </w:r>
      <w:r>
        <w:rPr>
          <w:rFonts w:ascii="Arial" w:hAnsi="Arial" w:eastAsia="Arial Unicode MS" w:cs="Arial"/>
          <w:color w:val="243442"/>
          <w:sz w:val="22"/>
        </w:rPr>
        <w:t xml:space="preserve"> 左侧导航 → 网络 NETWORK → 蓝牙</w:t>
      </w:r>
    </w:p>
    <w:p>
      <w:r>
        <w:rPr>
          <w:rFonts w:ascii="Arial" w:hAnsi="Arial" w:eastAsia="Arial Unicode MS" w:cs="Arial"/>
          <w:color w:val="243442"/>
          <w:sz w:val="22"/>
        </w:rPr>
        <w:t>用于查看蓝牙子线程、广播与后端连接状态，以及最近的蓝牙指令日志。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1295438"/>
            <wp:docPr id="19" name="Picture 19" descr="GD7 中文界面的蓝牙服务页面" title="GD7 中文界面的蓝牙服务页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dec33614af5f0480ccd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12954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GD7 中文界面的蓝牙服务页面</w:t>
      </w:r>
    </w:p>
    <w:p>
      <w:r>
        <w:rPr>
          <w:rFonts w:ascii="Arial" w:hAnsi="Arial" w:eastAsia="Arial Unicode MS" w:cs="Arial"/>
          <w:i/>
          <w:color w:val="243442"/>
          <w:sz w:val="22"/>
        </w:rPr>
        <w:t>图 15：蓝牙服务状态。日志内容已从截图中裁掉，避免暴露广播标识。</w:t>
      </w:r>
    </w:p>
    <w:p>
      <w:r>
        <w:rPr>
          <w:rFonts w:ascii="Arial" w:hAnsi="Arial" w:eastAsia="Arial Unicode MS" w:cs="Arial"/>
          <w:b/>
          <w:color w:val="243442"/>
          <w:sz w:val="22"/>
        </w:rPr>
        <w:t>操作与确认：</w:t>
      </w:r>
    </w:p>
    <w:p>
      <w:pPr>
        <w:pStyle w:val="ListNumber"/>
        <w:numPr>
          <w:ilvl w:val="0"/>
          <w:numId w:val="25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检查子线程是否运行、实时连接是否符合预期。</w:t>
      </w:r>
    </w:p>
    <w:p>
      <w:pPr>
        <w:pStyle w:val="ListNumber"/>
        <w:numPr>
          <w:ilvl w:val="0"/>
          <w:numId w:val="25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需要排障时查看最新日志，但不要在包含设备标识的情况下直接分享截图。</w:t>
      </w:r>
    </w:p>
    <w:p>
      <w:pPr>
        <w:pStyle w:val="ListNumber"/>
        <w:numPr>
          <w:ilvl w:val="0"/>
          <w:numId w:val="25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蓝牙异常时先记录状态和日志，再由授权人员核查适配器与后台服务。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开关蓝牙子线程会改变设备接入能力。未确认业务影响前不要切换。</w:t>
            </w:r>
          </w:p>
        </w:tc>
      </w:tr>
    </w:tbl>
    <w:p>
      <w:pPr>
        <w:spacing w:after="2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6.5 蜂窝网络</w:t>
      </w:r>
    </w:p>
    <w:p>
      <w:r>
        <w:rPr>
          <w:rFonts w:ascii="Arial" w:hAnsi="Arial" w:eastAsia="Arial Unicode MS" w:cs="Arial"/>
          <w:b/>
          <w:color w:val="243442"/>
          <w:sz w:val="22"/>
        </w:rPr>
        <w:t>进入路径：</w:t>
      </w:r>
      <w:r>
        <w:rPr>
          <w:rFonts w:ascii="Arial" w:hAnsi="Arial" w:eastAsia="Arial Unicode MS" w:cs="Arial"/>
          <w:color w:val="243442"/>
          <w:sz w:val="22"/>
        </w:rPr>
        <w:t xml:space="preserve"> 左侧导航 → 网络 NETWORK → 蜂窝</w:t>
      </w:r>
    </w:p>
    <w:p>
      <w:r>
        <w:rPr>
          <w:rFonts w:ascii="Arial" w:hAnsi="Arial" w:eastAsia="Arial Unicode MS" w:cs="Arial"/>
          <w:color w:val="243442"/>
          <w:sz w:val="22"/>
        </w:rPr>
        <w:t>用于启用 4G/LTE 拨号、填写 APN、查看 SIM 与信号状态，并进行蜂窝出口连通性测试。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849041"/>
            <wp:docPr id="20" name="Picture 20" descr="GD7 中文界面的蜂窝网络页面" title="GD7 中文界面的蜂窝网络页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b66a86a56d9120c284c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8490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GD7 中文界面的蜂窝网络页面</w:t>
      </w:r>
    </w:p>
    <w:p>
      <w:r>
        <w:rPr>
          <w:rFonts w:ascii="Arial" w:hAnsi="Arial" w:eastAsia="Arial Unicode MS" w:cs="Arial"/>
          <w:i/>
          <w:color w:val="243442"/>
          <w:sz w:val="22"/>
        </w:rPr>
        <w:t>图 16：未检测到 SIM 卡时的蜂窝配置和 Ping 区域。</w:t>
      </w:r>
    </w:p>
    <w:p>
      <w:r>
        <w:rPr>
          <w:rFonts w:ascii="Arial" w:hAnsi="Arial" w:eastAsia="Arial Unicode MS" w:cs="Arial"/>
          <w:b/>
          <w:color w:val="243442"/>
          <w:sz w:val="22"/>
        </w:rPr>
        <w:t>操作与确认：</w:t>
      </w:r>
    </w:p>
    <w:p>
      <w:pPr>
        <w:pStyle w:val="ListNumber"/>
        <w:numPr>
          <w:ilvl w:val="0"/>
          <w:numId w:val="26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断电或按设备要求安装可用 SIM 卡，再打开页面刷新模块状态。</w:t>
      </w:r>
    </w:p>
    <w:p>
      <w:pPr>
        <w:pStyle w:val="ListNumber"/>
        <w:numPr>
          <w:ilvl w:val="0"/>
          <w:numId w:val="26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按运营商要求填写 APN，启用拨号并保存。</w:t>
      </w:r>
    </w:p>
    <w:p>
      <w:pPr>
        <w:pStyle w:val="ListNumber"/>
        <w:numPr>
          <w:ilvl w:val="0"/>
          <w:numId w:val="26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等待重新拨号，核对信号、运营商、拨号地址和接口状态。</w:t>
      </w:r>
    </w:p>
    <w:p>
      <w:pPr>
        <w:pStyle w:val="ListNumber"/>
        <w:numPr>
          <w:ilvl w:val="0"/>
          <w:numId w:val="26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仅在允许的目标上执行 Ping，确认公网或专网出口可达。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IMEI、ICCID、手机号、APN 和拨号地址属于敏感信息。工单和截图必须脱敏。</w:t>
            </w:r>
          </w:p>
        </w:tc>
      </w:tr>
    </w:tbl>
    <w:p>
      <w:pPr>
        <w:spacing w:after="2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6.6 网络高级功能</w:t>
      </w:r>
    </w:p>
    <w:p>
      <w:r>
        <w:rPr>
          <w:rFonts w:ascii="Arial" w:hAnsi="Arial" w:eastAsia="Arial Unicode MS" w:cs="Arial"/>
          <w:b/>
          <w:color w:val="243442"/>
          <w:sz w:val="22"/>
        </w:rPr>
        <w:t>进入路径：</w:t>
      </w:r>
      <w:r>
        <w:rPr>
          <w:rFonts w:ascii="Arial" w:hAnsi="Arial" w:eastAsia="Arial Unicode MS" w:cs="Arial"/>
          <w:color w:val="243442"/>
          <w:sz w:val="22"/>
        </w:rPr>
        <w:t xml:space="preserve"> 左侧导航 → 网络 NETWORK → 高级功能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用于管理 OpenVPN 文件与启用状态、连通性看门狗 </w:t>
      </w:r>
      <w:r>
        <w:rPr>
          <w:rFonts w:ascii="Menlo" w:hAnsi="Menlo" w:eastAsia="Arial Unicode MS" w:cs="Menlo"/>
          <w:color w:val="18324A"/>
          <w:sz w:val="21"/>
        </w:rPr>
        <w:t>netCheck</w:t>
      </w:r>
      <w:r>
        <w:rPr>
          <w:rFonts w:ascii="Arial" w:hAnsi="Arial" w:eastAsia="Arial Unicode MS" w:cs="Arial"/>
          <w:color w:val="243442"/>
          <w:sz w:val="22"/>
        </w:rPr>
        <w:t>，以及出口选择策略。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849041"/>
            <wp:docPr id="21" name="Picture 21" descr="GD7 中文界面的网络高级功能页面" title="GD7 中文界面的网络高级功能页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121ea26bcf64dc6fe75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8490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GD7 中文界面的网络高级功能页面</w:t>
      </w:r>
    </w:p>
    <w:p>
      <w:r>
        <w:rPr>
          <w:rFonts w:ascii="Arial" w:hAnsi="Arial" w:eastAsia="Arial Unicode MS" w:cs="Arial"/>
          <w:i/>
          <w:color w:val="243442"/>
          <w:sz w:val="22"/>
        </w:rPr>
        <w:t>图 17：OpenVPN 文件入口和 netCheck 设置。证书内容未展开。</w:t>
      </w:r>
    </w:p>
    <w:p>
      <w:r>
        <w:rPr>
          <w:rFonts w:ascii="Arial" w:hAnsi="Arial" w:eastAsia="Arial Unicode MS" w:cs="Arial"/>
          <w:b/>
          <w:color w:val="243442"/>
          <w:sz w:val="22"/>
        </w:rPr>
        <w:t>操作与确认：</w:t>
      </w:r>
    </w:p>
    <w:p>
      <w:pPr>
        <w:pStyle w:val="ListNumber"/>
        <w:numPr>
          <w:ilvl w:val="0"/>
          <w:numId w:val="27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OpenVPN：确认配置、CA、客户端证书、客户端密钥和 TLS-Auth 密钥相互匹配。</w:t>
      </w:r>
    </w:p>
    <w:p>
      <w:pPr>
        <w:pStyle w:val="ListNumber"/>
        <w:numPr>
          <w:ilvl w:val="0"/>
          <w:numId w:val="27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上传后先核对文件类型和内容来源，再在维护窗口启用 VPN。</w:t>
      </w:r>
    </w:p>
    <w:p>
      <w:pPr>
        <w:pStyle w:val="ListNumber"/>
        <w:numPr>
          <w:ilvl w:val="0"/>
          <w:numId w:val="27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netCheck：设置可稳定到达的检测目标，以及合理的切换和重启阈值。</w:t>
      </w:r>
    </w:p>
    <w:p>
      <w:pPr>
        <w:pStyle w:val="ListNumber"/>
        <w:numPr>
          <w:ilvl w:val="0"/>
          <w:numId w:val="27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保存后验证管理连接、VPN 隧道和出口路由，不要只看开关状态。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VPN 密钥和证书不得出现在截图或工单中。错误的路由、检测目标或阈值可能引起反复切换甚至重启。</w:t>
            </w:r>
          </w:p>
        </w:tc>
      </w:tr>
    </w:tbl>
    <w:p>
      <w:pPr>
        <w:spacing w:after="2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7. 系统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7.1 系统管理</w:t>
      </w:r>
    </w:p>
    <w:p>
      <w:r>
        <w:rPr>
          <w:rFonts w:ascii="Arial" w:hAnsi="Arial" w:eastAsia="Arial Unicode MS" w:cs="Arial"/>
          <w:b/>
          <w:color w:val="243442"/>
          <w:sz w:val="22"/>
        </w:rPr>
        <w:t>进入路径：</w:t>
      </w:r>
      <w:r>
        <w:rPr>
          <w:rFonts w:ascii="Arial" w:hAnsi="Arial" w:eastAsia="Arial Unicode MS" w:cs="Arial"/>
          <w:color w:val="243442"/>
          <w:sz w:val="22"/>
        </w:rPr>
        <w:t xml:space="preserve"> 左侧导航 → 系统 SYSTEM → 系统管理</w:t>
      </w:r>
    </w:p>
    <w:p>
      <w:r>
        <w:rPr>
          <w:rFonts w:ascii="Arial" w:hAnsi="Arial" w:eastAsia="Arial Unicode MS" w:cs="Arial"/>
          <w:color w:val="243442"/>
          <w:sz w:val="22"/>
        </w:rPr>
        <w:t>用于查看设备身份与版本、配置时间和时区，以及执行配置备份与恢复。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849041"/>
            <wp:docPr id="22" name="Picture 22" descr="GD7 中文界面的系统管理页面" title="GD7 中文界面的系统管理页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b059ec0df97cc3d3a7a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8490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GD7 中文界面的系统管理页面</w:t>
      </w:r>
    </w:p>
    <w:p>
      <w:r>
        <w:rPr>
          <w:rFonts w:ascii="Arial" w:hAnsi="Arial" w:eastAsia="Arial Unicode MS" w:cs="Arial"/>
          <w:i/>
          <w:color w:val="243442"/>
          <w:sz w:val="22"/>
        </w:rPr>
        <w:t>图 18：设备信息和时间设置；EUI、租户和设备标识已遮盖。</w:t>
      </w:r>
    </w:p>
    <w:p>
      <w:r>
        <w:rPr>
          <w:rFonts w:ascii="Arial" w:hAnsi="Arial" w:eastAsia="Arial Unicode MS" w:cs="Arial"/>
          <w:b/>
          <w:color w:val="243442"/>
          <w:sz w:val="22"/>
        </w:rPr>
        <w:t>操作与确认：</w:t>
      </w:r>
    </w:p>
    <w:p>
      <w:pPr>
        <w:pStyle w:val="ListNumber"/>
        <w:numPr>
          <w:ilvl w:val="0"/>
          <w:numId w:val="28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报障或升级前记录固件、硬件、LoRa 版本和时区。</w:t>
      </w:r>
    </w:p>
    <w:p>
      <w:pPr>
        <w:pStyle w:val="ListNumber"/>
        <w:numPr>
          <w:ilvl w:val="0"/>
          <w:numId w:val="28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联网设备优先使用 NTP 自动授时；填写可达且可信的 NTP 服务器。</w:t>
      </w:r>
    </w:p>
    <w:p>
      <w:pPr>
        <w:pStyle w:val="ListNumber"/>
        <w:numPr>
          <w:ilvl w:val="0"/>
          <w:numId w:val="28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无网络环境才使用手动时间，并同时核对时区。</w:t>
      </w:r>
    </w:p>
    <w:p>
      <w:pPr>
        <w:pStyle w:val="ListNumber"/>
        <w:numPr>
          <w:ilvl w:val="0"/>
          <w:numId w:val="28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同步或保存后刷新页面，确认系统时间与标准时间一致。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时间错误会影响证书、日志、定时任务和数据时间戳。恢复配置前确认备份来源、适用型号和固件版本。</w:t>
            </w:r>
          </w:p>
        </w:tc>
      </w:tr>
    </w:tbl>
    <w:p>
      <w:pPr>
        <w:spacing w:after="2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7.2 账户与安全</w:t>
      </w:r>
    </w:p>
    <w:p>
      <w:r>
        <w:rPr>
          <w:rFonts w:ascii="Arial" w:hAnsi="Arial" w:eastAsia="Arial Unicode MS" w:cs="Arial"/>
          <w:b/>
          <w:color w:val="243442"/>
          <w:sz w:val="22"/>
        </w:rPr>
        <w:t>进入路径：</w:t>
      </w:r>
      <w:r>
        <w:rPr>
          <w:rFonts w:ascii="Arial" w:hAnsi="Arial" w:eastAsia="Arial Unicode MS" w:cs="Arial"/>
          <w:color w:val="243442"/>
          <w:sz w:val="22"/>
        </w:rPr>
        <w:t xml:space="preserve"> 左侧导航 → 系统 SYSTEM → 账户与安全</w:t>
      </w:r>
    </w:p>
    <w:p>
      <w:r>
        <w:rPr>
          <w:rFonts w:ascii="Arial" w:hAnsi="Arial" w:eastAsia="Arial Unicode MS" w:cs="Arial"/>
          <w:color w:val="243442"/>
          <w:sz w:val="22"/>
        </w:rPr>
        <w:t>用于修改 Web 管理员登录密码。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849041"/>
            <wp:docPr id="23" name="Picture 23" descr="GD7 中文界面的账户与安全页面" title="GD7 中文界面的账户与安全页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ee5523af385ec0013e8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8490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GD7 中文界面的账户与安全页面</w:t>
      </w:r>
    </w:p>
    <w:p>
      <w:r>
        <w:rPr>
          <w:rFonts w:ascii="Arial" w:hAnsi="Arial" w:eastAsia="Arial Unicode MS" w:cs="Arial"/>
          <w:i/>
          <w:color w:val="243442"/>
          <w:sz w:val="22"/>
        </w:rPr>
        <w:t>图 19：修改密码表单，所有字段均为空。</w:t>
      </w:r>
    </w:p>
    <w:p>
      <w:r>
        <w:rPr>
          <w:rFonts w:ascii="Arial" w:hAnsi="Arial" w:eastAsia="Arial Unicode MS" w:cs="Arial"/>
          <w:b/>
          <w:color w:val="243442"/>
          <w:sz w:val="22"/>
        </w:rPr>
        <w:t>操作与确认：</w:t>
      </w:r>
    </w:p>
    <w:p>
      <w:pPr>
        <w:pStyle w:val="ListNumber"/>
        <w:numPr>
          <w:ilvl w:val="0"/>
          <w:numId w:val="29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输入当前密码，再输入并确认符合策略的新密码。</w:t>
      </w:r>
    </w:p>
    <w:p>
      <w:pPr>
        <w:pStyle w:val="ListNumber"/>
        <w:numPr>
          <w:ilvl w:val="0"/>
          <w:numId w:val="29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提交前确认新密码已经存入批准的密码管理器。</w:t>
      </w:r>
    </w:p>
    <w:p>
      <w:pPr>
        <w:pStyle w:val="ListNumber"/>
        <w:numPr>
          <w:ilvl w:val="0"/>
          <w:numId w:val="29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修改成功后退出登录，使用新密码重新登录验证。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不要复用默认或共享密码。若修改后无法登录，应按组织批准的账号恢复流程处理，不要反复猜测。</w:t>
            </w:r>
          </w:p>
        </w:tc>
      </w:tr>
    </w:tbl>
    <w:p>
      <w:pPr>
        <w:spacing w:after="2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8. 升级</w:t>
      </w:r>
    </w:p>
    <w:p>
      <w:r>
        <w:rPr>
          <w:rFonts w:ascii="Arial" w:hAnsi="Arial" w:eastAsia="Arial Unicode MS" w:cs="Arial"/>
          <w:color w:val="243442"/>
          <w:sz w:val="22"/>
        </w:rPr>
        <w:t>升级前统一执行：核对产品与硬件型号、确认升级包来源和校验值、导出配置、保证稳定供电和管理网络，并安排业务中断窗口。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8.1 ThinkLink 升级</w:t>
      </w:r>
    </w:p>
    <w:p>
      <w:r>
        <w:rPr>
          <w:rFonts w:ascii="Arial" w:hAnsi="Arial" w:eastAsia="Arial Unicode MS" w:cs="Arial"/>
          <w:b/>
          <w:color w:val="243442"/>
          <w:sz w:val="22"/>
        </w:rPr>
        <w:t>进入路径：</w:t>
      </w:r>
      <w:r>
        <w:rPr>
          <w:rFonts w:ascii="Arial" w:hAnsi="Arial" w:eastAsia="Arial Unicode MS" w:cs="Arial"/>
          <w:color w:val="243442"/>
          <w:sz w:val="22"/>
        </w:rPr>
        <w:t xml:space="preserve"> 左侧导航 → 升级 UPGRADE → ThinkLink 升级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849041"/>
            <wp:docPr id="24" name="Picture 24" descr="GD7 中文界面的 ThinkLink 升级页面" title="GD7 中文界面的 ThinkLink 升级页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a4d880c822ab862f3be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8490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GD7 中文界面的 ThinkLink 升级页面</w:t>
      </w:r>
    </w:p>
    <w:p>
      <w:r>
        <w:rPr>
          <w:rFonts w:ascii="Arial" w:hAnsi="Arial" w:eastAsia="Arial Unicode MS" w:cs="Arial"/>
          <w:i/>
          <w:color w:val="243442"/>
          <w:sz w:val="22"/>
        </w:rPr>
        <w:t>图 20：未选择升级包时的安全初始状态。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选择以 </w:t>
      </w:r>
      <w:r>
        <w:rPr>
          <w:rFonts w:ascii="Menlo" w:hAnsi="Menlo" w:eastAsia="Arial Unicode MS" w:cs="Menlo"/>
          <w:color w:val="18324A"/>
          <w:sz w:val="21"/>
        </w:rPr>
        <w:t>tkg</w:t>
      </w:r>
      <w:r>
        <w:rPr>
          <w:rFonts w:ascii="Arial" w:hAnsi="Arial" w:eastAsia="Arial Unicode MS" w:cs="Arial"/>
          <w:color w:val="243442"/>
          <w:sz w:val="22"/>
        </w:rPr>
        <w:t xml:space="preserve"> 开头的 </w:t>
      </w:r>
      <w:r>
        <w:rPr>
          <w:rFonts w:ascii="Menlo" w:hAnsi="Menlo" w:eastAsia="Arial Unicode MS" w:cs="Menlo"/>
          <w:color w:val="18324A"/>
          <w:sz w:val="21"/>
        </w:rPr>
        <w:t>.gz</w:t>
      </w:r>
      <w:r>
        <w:rPr>
          <w:rFonts w:ascii="Arial" w:hAnsi="Arial" w:eastAsia="Arial Unicode MS" w:cs="Arial"/>
          <w:color w:val="243442"/>
          <w:sz w:val="22"/>
        </w:rPr>
        <w:t xml:space="preserve"> ThinkLink 升级包，核对文件名和大小后再开始。完成后页面会清理升级包；重新登录并检查 ThinkLink 常规页和关键服务。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8.2 GwSerial 升级</w:t>
      </w:r>
    </w:p>
    <w:p>
      <w:r>
        <w:rPr>
          <w:rFonts w:ascii="Arial" w:hAnsi="Arial" w:eastAsia="Arial Unicode MS" w:cs="Arial"/>
          <w:b/>
          <w:color w:val="243442"/>
          <w:sz w:val="22"/>
        </w:rPr>
        <w:t>进入路径：</w:t>
      </w:r>
      <w:r>
        <w:rPr>
          <w:rFonts w:ascii="Arial" w:hAnsi="Arial" w:eastAsia="Arial Unicode MS" w:cs="Arial"/>
          <w:color w:val="243442"/>
          <w:sz w:val="22"/>
        </w:rPr>
        <w:t xml:space="preserve"> 左侧导航 → 升级 UPGRADE → GwSerial 升级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849041"/>
            <wp:docPr id="25" name="Picture 25" descr="GD7 中文界面的 GwSerial 升级页面" title="GD7 中文界面的 GwSerial 升级页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da1747a776f2555873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8490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GD7 中文界面的 GwSerial 升级页面</w:t>
      </w:r>
    </w:p>
    <w:p>
      <w:r>
        <w:rPr>
          <w:rFonts w:ascii="Arial" w:hAnsi="Arial" w:eastAsia="Arial Unicode MS" w:cs="Arial"/>
          <w:i/>
          <w:color w:val="243442"/>
          <w:sz w:val="22"/>
        </w:rPr>
        <w:t>图 21：GwSerial 升级包选择区，未上传文件。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选择以 </w:t>
      </w:r>
      <w:r>
        <w:rPr>
          <w:rFonts w:ascii="Menlo" w:hAnsi="Menlo" w:eastAsia="Arial Unicode MS" w:cs="Menlo"/>
          <w:color w:val="18324A"/>
          <w:sz w:val="21"/>
        </w:rPr>
        <w:t>gw-serial</w:t>
      </w:r>
      <w:r>
        <w:rPr>
          <w:rFonts w:ascii="Arial" w:hAnsi="Arial" w:eastAsia="Arial Unicode MS" w:cs="Arial"/>
          <w:color w:val="243442"/>
          <w:sz w:val="22"/>
        </w:rPr>
        <w:t xml:space="preserve"> 开头的 </w:t>
      </w:r>
      <w:r>
        <w:rPr>
          <w:rFonts w:ascii="Menlo" w:hAnsi="Menlo" w:eastAsia="Arial Unicode MS" w:cs="Menlo"/>
          <w:color w:val="18324A"/>
          <w:sz w:val="21"/>
        </w:rPr>
        <w:t>.gz</w:t>
      </w:r>
      <w:r>
        <w:rPr>
          <w:rFonts w:ascii="Arial" w:hAnsi="Arial" w:eastAsia="Arial Unicode MS" w:cs="Arial"/>
          <w:color w:val="243442"/>
          <w:sz w:val="22"/>
        </w:rPr>
        <w:t xml:space="preserve"> 包。升级后检查 COM 服务状态、串口是否打开以及轮询与记录是否恢复。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8.3 GwTool 升级</w:t>
      </w:r>
    </w:p>
    <w:p>
      <w:r>
        <w:rPr>
          <w:rFonts w:ascii="Arial" w:hAnsi="Arial" w:eastAsia="Arial Unicode MS" w:cs="Arial"/>
          <w:b/>
          <w:color w:val="243442"/>
          <w:sz w:val="22"/>
        </w:rPr>
        <w:t>进入路径：</w:t>
      </w:r>
      <w:r>
        <w:rPr>
          <w:rFonts w:ascii="Arial" w:hAnsi="Arial" w:eastAsia="Arial Unicode MS" w:cs="Arial"/>
          <w:color w:val="243442"/>
          <w:sz w:val="22"/>
        </w:rPr>
        <w:t xml:space="preserve"> 左侧导航 → 升级 UPGRADE → GwTool 升级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849041"/>
            <wp:docPr id="26" name="Picture 26" descr="GD7 中文界面的 GwTool 升级页面" title="GD7 中文界面的 GwTool 升级页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a69d9e6b7b4cafeee28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8490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GD7 中文界面的 GwTool 升级页面</w:t>
      </w:r>
    </w:p>
    <w:p>
      <w:r>
        <w:rPr>
          <w:rFonts w:ascii="Arial" w:hAnsi="Arial" w:eastAsia="Arial Unicode MS" w:cs="Arial"/>
          <w:i/>
          <w:color w:val="243442"/>
          <w:sz w:val="22"/>
        </w:rPr>
        <w:t>图 22：当前版本和 GwTool 升级包选择区。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选择以 </w:t>
      </w:r>
      <w:r>
        <w:rPr>
          <w:rFonts w:ascii="Menlo" w:hAnsi="Menlo" w:eastAsia="Arial Unicode MS" w:cs="Menlo"/>
          <w:color w:val="18324A"/>
          <w:sz w:val="21"/>
        </w:rPr>
        <w:t>gw-tool</w:t>
      </w:r>
      <w:r>
        <w:rPr>
          <w:rFonts w:ascii="Arial" w:hAnsi="Arial" w:eastAsia="Arial Unicode MS" w:cs="Arial"/>
          <w:color w:val="243442"/>
          <w:sz w:val="22"/>
        </w:rPr>
        <w:t xml:space="preserve"> 开头的 </w:t>
      </w:r>
      <w:r>
        <w:rPr>
          <w:rFonts w:ascii="Menlo" w:hAnsi="Menlo" w:eastAsia="Arial Unicode MS" w:cs="Menlo"/>
          <w:color w:val="18324A"/>
          <w:sz w:val="21"/>
        </w:rPr>
        <w:t>.gz</w:t>
      </w:r>
      <w:r>
        <w:rPr>
          <w:rFonts w:ascii="Arial" w:hAnsi="Arial" w:eastAsia="Arial Unicode MS" w:cs="Arial"/>
          <w:color w:val="243442"/>
          <w:sz w:val="22"/>
        </w:rPr>
        <w:t xml:space="preserve"> 包。开始前记录当前固件、硬件、程序和数据库版本；升级后强制刷新浏览器并逐页抽查核心配置。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8.4 固件升级</w:t>
      </w:r>
    </w:p>
    <w:p>
      <w:r>
        <w:rPr>
          <w:rFonts w:ascii="Arial" w:hAnsi="Arial" w:eastAsia="Arial Unicode MS" w:cs="Arial"/>
          <w:b/>
          <w:color w:val="243442"/>
          <w:sz w:val="22"/>
        </w:rPr>
        <w:t>进入路径：</w:t>
      </w:r>
      <w:r>
        <w:rPr>
          <w:rFonts w:ascii="Arial" w:hAnsi="Arial" w:eastAsia="Arial Unicode MS" w:cs="Arial"/>
          <w:color w:val="243442"/>
          <w:sz w:val="22"/>
        </w:rPr>
        <w:t xml:space="preserve"> 左侧导航 → 升级 UPGRADE → 固件升级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849041"/>
            <wp:docPr id="27" name="Picture 27" descr="GD7 中文界面的固件升级页面" title="GD7 中文界面的固件升级页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8db6f27dde59b1d5b8a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8490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GD7 中文界面的固件升级页面</w:t>
      </w:r>
    </w:p>
    <w:p>
      <w:r>
        <w:rPr>
          <w:rFonts w:ascii="Arial" w:hAnsi="Arial" w:eastAsia="Arial Unicode MS" w:cs="Arial"/>
          <w:i/>
          <w:color w:val="243442"/>
          <w:sz w:val="22"/>
        </w:rPr>
        <w:t>图 23：固件版本和升级包选择区。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仅使用与板卡匹配命名的 </w:t>
      </w:r>
      <w:r>
        <w:rPr>
          <w:rFonts w:ascii="Menlo" w:hAnsi="Menlo" w:eastAsia="Arial Unicode MS" w:cs="Menlo"/>
          <w:color w:val="18324A"/>
          <w:sz w:val="21"/>
        </w:rPr>
        <w:t>.gz</w:t>
      </w:r>
      <w:r>
        <w:rPr>
          <w:rFonts w:ascii="Arial" w:hAnsi="Arial" w:eastAsia="Arial Unicode MS" w:cs="Arial"/>
          <w:color w:val="243442"/>
          <w:sz w:val="22"/>
        </w:rPr>
        <w:t xml:space="preserve"> 固件包。固件升级期间网关会重启，不得断电、关闭页面或切换网络；恢复后核对版本、网络、LoRaWAN、ThinkLink 和 COM 业务。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四类升级包不可混用。不要上传来源不明、校验失败或型号不匹配的文件。升级失败时停止重复尝试并保留日志。</w:t>
            </w:r>
          </w:p>
        </w:tc>
      </w:tr>
    </w:tbl>
    <w:p>
      <w:pPr>
        <w:spacing w:after="2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9. 维护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9.1 自检</w:t>
      </w:r>
    </w:p>
    <w:p>
      <w:r>
        <w:rPr>
          <w:rFonts w:ascii="Arial" w:hAnsi="Arial" w:eastAsia="Arial Unicode MS" w:cs="Arial"/>
          <w:b/>
          <w:color w:val="243442"/>
          <w:sz w:val="22"/>
        </w:rPr>
        <w:t>进入路径：</w:t>
      </w:r>
      <w:r>
        <w:rPr>
          <w:rFonts w:ascii="Arial" w:hAnsi="Arial" w:eastAsia="Arial Unicode MS" w:cs="Arial"/>
          <w:color w:val="243442"/>
          <w:sz w:val="22"/>
        </w:rPr>
        <w:t xml:space="preserve"> 左侧导航 → 维护 MAINTENANCE → 自检</w:t>
      </w:r>
    </w:p>
    <w:p>
      <w:r>
        <w:rPr>
          <w:rFonts w:ascii="Arial" w:hAnsi="Arial" w:eastAsia="Arial Unicode MS" w:cs="Arial"/>
          <w:color w:val="243442"/>
          <w:sz w:val="22"/>
        </w:rPr>
        <w:t>用于按系统资源、服务运行、业务健康和网络链路进行综合检查，并给出通过、注意、失败和信息项。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849041"/>
            <wp:docPr id="28" name="Picture 28" descr="GD7 中文界面的自检页面" title="GD7 中文界面的自检页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41572d1e496c00b6370.jp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8490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GD7 中文界面的自检页面</w:t>
      </w:r>
    </w:p>
    <w:p>
      <w:r>
        <w:rPr>
          <w:rFonts w:ascii="Arial" w:hAnsi="Arial" w:eastAsia="Arial Unicode MS" w:cs="Arial"/>
          <w:i/>
          <w:color w:val="243442"/>
          <w:sz w:val="22"/>
        </w:rPr>
        <w:t>图 24：尚未执行体检时的初始状态；截图过程中未触发“重新体检”。</w:t>
      </w:r>
    </w:p>
    <w:p>
      <w:r>
        <w:rPr>
          <w:rFonts w:ascii="Arial" w:hAnsi="Arial" w:eastAsia="Arial Unicode MS" w:cs="Arial"/>
          <w:b/>
          <w:color w:val="243442"/>
          <w:sz w:val="22"/>
        </w:rPr>
        <w:t>操作与确认：</w:t>
      </w:r>
      <w:r>
        <w:rPr>
          <w:rFonts w:ascii="Arial" w:hAnsi="Arial" w:eastAsia="Arial Unicode MS" w:cs="Arial"/>
          <w:color w:val="243442"/>
          <w:sz w:val="22"/>
        </w:rPr>
        <w:t xml:space="preserve"> 在业务允许时选择“重新体检”，等待全部分组完成；先处理失败，再检查注意项，并保存必要的脱敏结果。自检通过不等于端到端业务一定正常，还应结合流量和平台状态。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9.2 系统日志</w:t>
      </w:r>
    </w:p>
    <w:p>
      <w:r>
        <w:rPr>
          <w:rFonts w:ascii="Arial" w:hAnsi="Arial" w:eastAsia="Arial Unicode MS" w:cs="Arial"/>
          <w:b/>
          <w:color w:val="243442"/>
          <w:sz w:val="22"/>
        </w:rPr>
        <w:t>进入路径：</w:t>
      </w:r>
      <w:r>
        <w:rPr>
          <w:rFonts w:ascii="Arial" w:hAnsi="Arial" w:eastAsia="Arial Unicode MS" w:cs="Arial"/>
          <w:color w:val="243442"/>
          <w:sz w:val="22"/>
        </w:rPr>
        <w:t xml:space="preserve"> 左侧导航 → 维护 MAINTENANCE → 日志</w:t>
      </w:r>
    </w:p>
    <w:p>
      <w:r>
        <w:rPr>
          <w:rFonts w:ascii="Arial" w:hAnsi="Arial" w:eastAsia="Arial Unicode MS" w:cs="Arial"/>
          <w:color w:val="243442"/>
          <w:sz w:val="22"/>
        </w:rPr>
        <w:t>用于选择日志文件、从尾部或头部查看、按关键字过滤、控制实时刷新和下载日志。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849041"/>
            <wp:docPr id="29" name="Picture 29" descr="GD7 中文界面的系统日志页面" title="GD7 中文界面的系统日志页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79b199981e2fff8fd1.jp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8490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GD7 中文界面的系统日志页面</w:t>
      </w:r>
    </w:p>
    <w:p>
      <w:r>
        <w:rPr>
          <w:rFonts w:ascii="Arial" w:hAnsi="Arial" w:eastAsia="Arial Unicode MS" w:cs="Arial"/>
          <w:i/>
          <w:color w:val="243442"/>
          <w:sz w:val="22"/>
        </w:rPr>
        <w:t>图 25：日志查看器的空内容状态。</w:t>
      </w:r>
    </w:p>
    <w:p>
      <w:r>
        <w:rPr>
          <w:rFonts w:ascii="Arial" w:hAnsi="Arial" w:eastAsia="Arial Unicode MS" w:cs="Arial"/>
          <w:b/>
          <w:color w:val="243442"/>
          <w:sz w:val="22"/>
        </w:rPr>
        <w:t>操作与确认：</w:t>
      </w:r>
      <w:r>
        <w:rPr>
          <w:rFonts w:ascii="Arial" w:hAnsi="Arial" w:eastAsia="Arial Unicode MS" w:cs="Arial"/>
          <w:color w:val="243442"/>
          <w:sz w:val="22"/>
        </w:rPr>
        <w:t xml:space="preserve"> 选择与故障模块对应的日志，优先从 </w:t>
      </w:r>
      <w:r>
        <w:rPr>
          <w:rFonts w:ascii="Menlo" w:hAnsi="Menlo" w:eastAsia="Arial Unicode MS" w:cs="Menlo"/>
          <w:color w:val="18324A"/>
          <w:sz w:val="21"/>
        </w:rPr>
        <w:t>tail</w:t>
      </w:r>
      <w:r>
        <w:rPr>
          <w:rFonts w:ascii="Arial" w:hAnsi="Arial" w:eastAsia="Arial Unicode MS" w:cs="Arial"/>
          <w:color w:val="243442"/>
          <w:sz w:val="22"/>
        </w:rPr>
        <w:t xml:space="preserve"> 查看最新记录；按发生时间和错误关键字过滤，必要时下载后离线分析。开启“实时”会持续更新，离开页面前应关闭。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日志可能包含地址、设备标识、账号或业务数据。下载和共享前必须检查并脱敏。</w:t>
            </w:r>
          </w:p>
        </w:tc>
      </w:tr>
    </w:tbl>
    <w:p>
      <w:pPr>
        <w:spacing w:after="2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9.3 终端</w:t>
      </w:r>
    </w:p>
    <w:p>
      <w:r>
        <w:rPr>
          <w:rFonts w:ascii="Arial" w:hAnsi="Arial" w:eastAsia="Arial Unicode MS" w:cs="Arial"/>
          <w:b/>
          <w:color w:val="243442"/>
          <w:sz w:val="22"/>
        </w:rPr>
        <w:t>进入路径：</w:t>
      </w:r>
      <w:r>
        <w:rPr>
          <w:rFonts w:ascii="Arial" w:hAnsi="Arial" w:eastAsia="Arial Unicode MS" w:cs="Arial"/>
          <w:color w:val="243442"/>
          <w:sz w:val="22"/>
        </w:rPr>
        <w:t xml:space="preserve"> 左侧导航 → 维护 MAINTENANCE → 终端</w:t>
      </w:r>
    </w:p>
    <w:p>
      <w:r>
        <w:rPr>
          <w:rFonts w:ascii="Arial" w:hAnsi="Arial" w:eastAsia="Arial Unicode MS" w:cs="Arial"/>
          <w:color w:val="243442"/>
          <w:sz w:val="22"/>
        </w:rPr>
        <w:t>通过受认证的 WebSocket 提供网关 SSH 终端，用于经过授权的深度诊断。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849041"/>
            <wp:docPr id="30" name="Picture 30" descr="GD7 中文界面的维护终端页面" title="GD7 中文界面的维护终端页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03e69b1ce991bc2edfd.jp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8490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GD7 中文界面的维护终端页面</w:t>
      </w:r>
    </w:p>
    <w:p>
      <w:r>
        <w:rPr>
          <w:rFonts w:ascii="Arial" w:hAnsi="Arial" w:eastAsia="Arial Unicode MS" w:cs="Arial"/>
          <w:i/>
          <w:color w:val="243442"/>
          <w:sz w:val="22"/>
        </w:rPr>
        <w:t>图 26：终端登录提示；截图过程中未输入账号、密码或命令。</w:t>
      </w:r>
    </w:p>
    <w:p>
      <w:r>
        <w:rPr>
          <w:rFonts w:ascii="Arial" w:hAnsi="Arial" w:eastAsia="Arial Unicode MS" w:cs="Arial"/>
          <w:b/>
          <w:color w:val="243442"/>
          <w:sz w:val="22"/>
        </w:rPr>
        <w:t>受控使用：</w:t>
      </w:r>
    </w:p>
    <w:p>
      <w:pPr>
        <w:pStyle w:val="ListNumber"/>
        <w:numPr>
          <w:ilvl w:val="0"/>
          <w:numId w:val="30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先取得变更授权，明确允许的只读命令、记录要求和退出条件。</w:t>
      </w:r>
    </w:p>
    <w:p>
      <w:pPr>
        <w:pStyle w:val="ListNumber"/>
        <w:numPr>
          <w:ilvl w:val="0"/>
          <w:numId w:val="30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登录后再次确认目标设备身份，只执行最小必要检查。</w:t>
      </w:r>
    </w:p>
    <w:p>
      <w:pPr>
        <w:pStyle w:val="ListNumber"/>
        <w:numPr>
          <w:ilvl w:val="0"/>
          <w:numId w:val="30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记录必要输出，完成后主动断开并关闭页面。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终端可绕过 Web 界面的保护措施。本手册不授权 shell 运维、服务控制或设备控制；仅执行组织另行批准的命令。</w:t>
            </w:r>
          </w:p>
        </w:tc>
      </w:tr>
    </w:tbl>
    <w:p>
      <w:pPr>
        <w:spacing w:after="2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9.4 服务管理与网关重启</w:t>
      </w:r>
    </w:p>
    <w:p>
      <w:r>
        <w:rPr>
          <w:rFonts w:ascii="Arial" w:hAnsi="Arial" w:eastAsia="Arial Unicode MS" w:cs="Arial"/>
          <w:b/>
          <w:color w:val="243442"/>
          <w:sz w:val="22"/>
        </w:rPr>
        <w:t>进入路径：</w:t>
      </w:r>
      <w:r>
        <w:rPr>
          <w:rFonts w:ascii="Arial" w:hAnsi="Arial" w:eastAsia="Arial Unicode MS" w:cs="Arial"/>
          <w:color w:val="243442"/>
          <w:sz w:val="22"/>
        </w:rPr>
        <w:t xml:space="preserve"> 左侧导航 → 维护 MAINTENANCE → 服务管理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页面用途</w:t>
      </w:r>
    </w:p>
    <w:p>
      <w:r>
        <w:rPr>
          <w:rFonts w:ascii="Arial" w:hAnsi="Arial" w:eastAsia="Arial Unicode MS" w:cs="Arial"/>
          <w:color w:val="243442"/>
          <w:sz w:val="22"/>
        </w:rPr>
        <w:t>服务管理页用于查看系统服务状态、开机自启和运行时长，并提供单项服务控制、整机重启及自动重启周期设置。下图聚焦风险最高的整机重启区域。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849041"/>
            <wp:docPr id="31" name="Picture 31" descr="GD7 中文界面的服务管理与网关重启页面" title="GD7 中文界面的服务管理与网关重启页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0313b6f82f95417063.jp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8490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GD7 中文界面的服务管理与网关重启页面</w:t>
      </w:r>
    </w:p>
    <w:p>
      <w:r>
        <w:rPr>
          <w:rFonts w:ascii="Arial" w:hAnsi="Arial" w:eastAsia="Arial Unicode MS" w:cs="Arial"/>
          <w:i/>
          <w:color w:val="243442"/>
          <w:sz w:val="22"/>
        </w:rPr>
        <w:t>图 27：网关重启和自动重启周期。截图仅用于说明控件位置，采集过程中未执行重启或保存。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服务状态检查</w:t>
      </w:r>
    </w:p>
    <w:p>
      <w:pPr>
        <w:pStyle w:val="ListNumber"/>
        <w:numPr>
          <w:ilvl w:val="0"/>
          <w:numId w:val="31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先查看服务表中的“状态”和“已运行”信息。</w:t>
      </w:r>
    </w:p>
    <w:p>
      <w:pPr>
        <w:pStyle w:val="ListNumber"/>
        <w:numPr>
          <w:ilvl w:val="0"/>
          <w:numId w:val="31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对异常服务记录名称、状态、运行时长和发生时间。</w:t>
      </w:r>
    </w:p>
    <w:p>
      <w:pPr>
        <w:pStyle w:val="ListNumber"/>
        <w:numPr>
          <w:ilvl w:val="0"/>
          <w:numId w:val="31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优先使用“刷新”复核瞬时异常。</w:t>
      </w:r>
    </w:p>
    <w:p>
      <w:pPr>
        <w:pStyle w:val="ListNumber"/>
        <w:numPr>
          <w:ilvl w:val="0"/>
          <w:numId w:val="31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未确认依赖关系前，不要切换开机自启，也不要启动、停止或重启服务。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手动重启网关</w:t>
      </w:r>
    </w:p>
    <w:p>
      <w:pPr>
        <w:pStyle w:val="ListNumber"/>
        <w:numPr>
          <w:ilvl w:val="0"/>
          <w:numId w:val="32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通知业务相关人员，并安排 1–2 分钟以上的中断窗口。</w:t>
      </w:r>
    </w:p>
    <w:p>
      <w:pPr>
        <w:pStyle w:val="ListNumber"/>
        <w:numPr>
          <w:ilvl w:val="0"/>
          <w:numId w:val="32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确认没有正在进行的升级、写入或关键数据传输。</w:t>
      </w:r>
    </w:p>
    <w:p>
      <w:pPr>
        <w:pStyle w:val="ListNumber"/>
        <w:numPr>
          <w:ilvl w:val="0"/>
          <w:numId w:val="32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记录当前网络地址和关键服务状态。</w:t>
      </w:r>
    </w:p>
    <w:p>
      <w:pPr>
        <w:pStyle w:val="ListNumber"/>
        <w:numPr>
          <w:ilvl w:val="0"/>
          <w:numId w:val="32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选择“重启网关”并按界面提示确认。</w:t>
      </w:r>
    </w:p>
    <w:p>
      <w:pPr>
        <w:pStyle w:val="ListNumber"/>
        <w:numPr>
          <w:ilvl w:val="0"/>
          <w:numId w:val="32"/>
        </w:numPr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等待网关恢复后重新登录，检查概览、网络状态和关键服务。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自动重启周期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“启用”开关决定计划任务是否生效。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“简易模式”可按周期和时间生成计划；“cron 表达式”适合熟悉 cron 的管理员。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页面提示显示：开机后 1 小时内，即使到达计划时间也不会触发重启。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保存前应选择业务低谷，并确认时区正确。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重启会中断全部服务和数据收发。计划重启时间错误可能造成周期性业务中断；启用后应在下一个计划窗口验证恢复情况。</w:t>
            </w:r>
          </w:p>
        </w:tc>
      </w:tr>
    </w:tbl>
    <w:p>
      <w:pPr>
        <w:spacing w:after="2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结果确认与恢复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手动重启后：等待设备恢复，再重新登录并检查概览、网络和服务状态。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计划保存后：重新进入本页，确认启用状态、显示时间和 cron 表达式符合预期。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设备未恢复：先检查供电和链路，再按现场应急流程处理；不要连续重复下发重启。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10. 通用安全与恢复建议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修改前记录当前值和固件版本，必要时保存已批准的配置备份。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一次只修改一个功能模块，保存后立即执行结果确认。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网络、服务、升级和重启操作应安排维护窗口，并准备可用的回退路径。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故障记录至少包含发生时间、页面、操作前后状态和已采取措施；不要附带密码、令牌或设备唯一标识。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界面与本文不一致时，以当前设备的正式界面和适用版本说明为准，停止不确定的高风险操作并升级确认。</w:t>
      </w:r>
    </w:p>
    <w:p>
      <w:r>
        <w:rPr>
          <w:rFonts w:ascii="Arial" w:hAnsi="Arial" w:eastAsia="Arial Unicode MS" w:cs="Arial"/>
          <w:color w:val="243442"/>
          <w:sz w:val="22"/>
        </w:rPr>
        <w:t>修订记录：2026-08-04，完成中文管理员手册 1.0，覆盖登录页和 26 个正式业务页面。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 Unicode MS" w:cs="Arial"/>
        <w:color w:val="607181"/>
        <w:sz w:val="17"/>
      </w:rPr>
      <w:t xml:space="preserve">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left"/>
      </w:tabs>
      <w:spacing w:after="0"/>
    </w:pPr>
    <w:r>
      <w:rPr>
        <w:rFonts w:ascii="Arial" w:hAnsi="Arial" w:eastAsia="Arial Unicode MS" w:cs="Arial"/>
        <w:b/>
        <w:color w:val="607181"/>
        <w:sz w:val="17"/>
      </w:rPr>
      <w:t>MANTHINK  /  gwTool7</w:t>
    </w:r>
    <w:r>
      <w:tab/>
    </w:r>
    <w:r>
      <w:rPr>
        <w:rFonts w:ascii="Arial" w:hAnsi="Arial" w:eastAsia="Arial Unicode MS" w:cs="Arial"/>
        <w:color w:val="607181"/>
        <w:sz w:val="16"/>
      </w:rPr>
      <w:t>设备说明书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7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7"/>
    <w:lvlOverride w:ilvl="0">
      <w:startOverride w:val="1"/>
    </w:lvlOverride>
  </w:num>
  <w:num w:numId="23">
    <w:abstractNumId w:val="7"/>
    <w:lvlOverride w:ilvl="0">
      <w:startOverride w:val="1"/>
    </w:lvlOverride>
  </w:num>
  <w:num w:numId="24">
    <w:abstractNumId w:val="7"/>
    <w:lvlOverride w:ilvl="0">
      <w:startOverride w:val="1"/>
    </w:lvlOverride>
  </w:num>
  <w:num w:numId="25">
    <w:abstractNumId w:val="7"/>
    <w:lvlOverride w:ilvl="0">
      <w:startOverride w:val="1"/>
    </w:lvlOverride>
  </w:num>
  <w:num w:numId="26">
    <w:abstractNumId w:val="7"/>
    <w:lvlOverride w:ilvl="0">
      <w:startOverride w:val="1"/>
    </w:lvlOverride>
  </w:num>
  <w:num w:numId="27">
    <w:abstractNumId w:val="7"/>
    <w:lvlOverride w:ilvl="0">
      <w:startOverride w:val="1"/>
    </w:lvlOverride>
  </w:num>
  <w:num w:numId="28">
    <w:abstractNumId w:val="7"/>
    <w:lvlOverride w:ilvl="0">
      <w:startOverride w:val="1"/>
    </w:lvlOverride>
  </w:num>
  <w:num w:numId="29">
    <w:abstractNumId w:val="7"/>
    <w:lvlOverride w:ilvl="0">
      <w:startOverride w:val="1"/>
    </w:lvlOverride>
  </w:num>
  <w:num w:numId="30">
    <w:abstractNumId w:val="7"/>
    <w:lvlOverride w:ilvl="0">
      <w:startOverride w:val="1"/>
    </w:lvlOverride>
  </w:num>
  <w:num w:numId="31">
    <w:abstractNumId w:val="7"/>
    <w:lvlOverride w:ilvl="0">
      <w:startOverride w:val="1"/>
    </w:lvlOverride>
  </w:num>
  <w:num w:numId="32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" w:hAnsi="Arial" w:eastAsia="Arial Unicode MS"/>
      <w:color w:val="24344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 w:eastAsia="Arial Unicode MS"/>
      <w:b/>
      <w:bCs/>
      <w:color w:val="1832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60" w:after="80"/>
      <w:outlineLvl w:val="3"/>
    </w:pPr>
    <w:rPr>
      <w:rFonts w:asciiTheme="majorHAnsi" w:eastAsiaTheme="majorEastAsia" w:hAnsiTheme="majorHAnsi" w:cstheme="majorBidi" w:ascii="Arial" w:hAnsi="Arial" w:eastAsia="Arial Unicode MS"/>
      <w:b/>
      <w:bCs/>
      <w:i/>
      <w:iCs/>
      <w:color w:val="18324A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100" w:after="140" w:line="276" w:lineRule="auto"/>
      <w:ind w:left="259" w:right="259"/>
      <w:shd w:fill="F0F4F6"/>
    </w:pPr>
    <w:rPr>
      <w:rFonts w:ascii="Menlo" w:hAnsi="Menlo" w:eastAsia="Arial Unicode MS"/>
      <w:color w:val="18324A"/>
      <w:sz w:val="18"/>
    </w:rPr>
  </w:style>
  <w:style w:type="paragraph" w:customStyle="1" w:styleId="FigureCaption">
    <w:name w:val="Figure Caption"/>
    <w:pPr>
      <w:spacing w:before="60" w:after="160"/>
      <w:jc w:val="center"/>
    </w:pPr>
    <w:rPr>
      <w:rFonts w:ascii="Arial" w:hAnsi="Arial" w:eastAsia="Arial Unicode MS"/>
      <w:color w:val="607181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jpg"/><Relationship Id="rId13" Type="http://schemas.openxmlformats.org/officeDocument/2006/relationships/image" Target="media/image3.jpg"/><Relationship Id="rId14" Type="http://schemas.openxmlformats.org/officeDocument/2006/relationships/image" Target="media/image4.jpg"/><Relationship Id="rId15" Type="http://schemas.openxmlformats.org/officeDocument/2006/relationships/image" Target="media/image5.jpg"/><Relationship Id="rId16" Type="http://schemas.openxmlformats.org/officeDocument/2006/relationships/image" Target="media/image6.jpg"/><Relationship Id="rId17" Type="http://schemas.openxmlformats.org/officeDocument/2006/relationships/hyperlink" Target="https://think-link.net/docs/zh/Device/LoRaWANGateway/gwtool-chirpstack-basic-station" TargetMode="External"/><Relationship Id="rId18" Type="http://schemas.openxmlformats.org/officeDocument/2006/relationships/hyperlink" Target="https://think-link.net/docs/zh/Device/LoRaWANGateway/gwtool-ttn-basic-station" TargetMode="External"/><Relationship Id="rId19" Type="http://schemas.openxmlformats.org/officeDocument/2006/relationships/image" Target="media/image7.jpg"/><Relationship Id="rId20" Type="http://schemas.openxmlformats.org/officeDocument/2006/relationships/image" Target="media/image8.jpg"/><Relationship Id="rId21" Type="http://schemas.openxmlformats.org/officeDocument/2006/relationships/image" Target="media/image9.jpg"/><Relationship Id="rId22" Type="http://schemas.openxmlformats.org/officeDocument/2006/relationships/image" Target="media/image10.jpg"/><Relationship Id="rId23" Type="http://schemas.openxmlformats.org/officeDocument/2006/relationships/image" Target="media/image11.jpg"/><Relationship Id="rId24" Type="http://schemas.openxmlformats.org/officeDocument/2006/relationships/image" Target="media/image12.jpg"/><Relationship Id="rId25" Type="http://schemas.openxmlformats.org/officeDocument/2006/relationships/image" Target="media/image13.jpg"/><Relationship Id="rId26" Type="http://schemas.openxmlformats.org/officeDocument/2006/relationships/image" Target="media/image14.jpg"/><Relationship Id="rId27" Type="http://schemas.openxmlformats.org/officeDocument/2006/relationships/image" Target="media/image15.jpg"/><Relationship Id="rId28" Type="http://schemas.openxmlformats.org/officeDocument/2006/relationships/image" Target="media/image16.png"/><Relationship Id="rId29" Type="http://schemas.openxmlformats.org/officeDocument/2006/relationships/image" Target="media/image17.jpg"/><Relationship Id="rId30" Type="http://schemas.openxmlformats.org/officeDocument/2006/relationships/image" Target="media/image18.jpg"/><Relationship Id="rId31" Type="http://schemas.openxmlformats.org/officeDocument/2006/relationships/image" Target="media/image19.jpg"/><Relationship Id="rId32" Type="http://schemas.openxmlformats.org/officeDocument/2006/relationships/image" Target="media/image20.jpg"/><Relationship Id="rId33" Type="http://schemas.openxmlformats.org/officeDocument/2006/relationships/image" Target="media/image21.jpg"/><Relationship Id="rId34" Type="http://schemas.openxmlformats.org/officeDocument/2006/relationships/image" Target="media/image22.jpg"/><Relationship Id="rId35" Type="http://schemas.openxmlformats.org/officeDocument/2006/relationships/image" Target="media/image23.jpg"/><Relationship Id="rId36" Type="http://schemas.openxmlformats.org/officeDocument/2006/relationships/image" Target="media/image24.jpg"/><Relationship Id="rId37" Type="http://schemas.openxmlformats.org/officeDocument/2006/relationships/image" Target="media/image25.jpg"/><Relationship Id="rId38" Type="http://schemas.openxmlformats.org/officeDocument/2006/relationships/image" Target="media/image26.jpg"/><Relationship Id="rId39" Type="http://schemas.openxmlformats.org/officeDocument/2006/relationships/image" Target="media/image27.jpg"/><Relationship Id="rId40" Type="http://schemas.openxmlformats.org/officeDocument/2006/relationships/image" Target="media/image28.jpg"/><Relationship Id="rId41" Type="http://schemas.openxmlformats.org/officeDocument/2006/relationships/image" Target="media/image29.jpg"/><Relationship Id="rId42" Type="http://schemas.openxmlformats.org/officeDocument/2006/relationships/image" Target="media/image3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gwTool7 网关管理员手册</dc:title>
  <dc:subject>门思科技设备说明书</dc:subject>
  <dc:creator/>
  <cp:keywords>ManThink, ThinkLink, LoRaWAN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