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 w:after="680"/>
      </w:pPr>
      <w:r>
        <w:rPr>
          <w:rFonts w:ascii="Arial" w:hAnsi="Arial" w:eastAsia="Arial Unicode MS" w:cs="Arial"/>
          <w:b/>
          <w:color w:val="2CA6A4"/>
          <w:sz w:val="19"/>
        </w:rPr>
        <w:t>MANTHINK  /  INDUSTRIAL IoT</w:t>
      </w:r>
    </w:p>
    <w:p>
      <w:pPr>
        <w:spacing w:after="40"/>
      </w:pPr>
      <w:r>
        <w:rPr>
          <w:rFonts w:ascii="Arial" w:hAnsi="Arial" w:eastAsia="Arial Unicode MS" w:cs="Arial"/>
          <w:b/>
          <w:color w:val="18324A"/>
          <w:sz w:val="68"/>
        </w:rPr>
        <w:t>KS51</w:t>
      </w:r>
    </w:p>
    <w:p>
      <w:pPr>
        <w:spacing w:after="80"/>
      </w:pPr>
      <w:r>
        <w:rPr>
          <w:rFonts w:ascii="Arial" w:hAnsi="Arial" w:eastAsia="Arial Unicode MS" w:cs="Arial"/>
          <w:b/>
          <w:color w:val="243442"/>
          <w:sz w:val="34"/>
        </w:rPr>
        <w:t>LoRaWAN Sensor</w:t>
      </w:r>
    </w:p>
    <w:p>
      <w:pPr>
        <w:spacing w:after="360"/>
      </w:pPr>
      <w:r>
        <w:rPr>
          <w:rFonts w:ascii="Arial" w:hAnsi="Arial" w:eastAsia="Arial Unicode MS" w:cs="Arial"/>
          <w:color w:val="607181"/>
          <w:sz w:val="23"/>
        </w:rPr>
        <w:t>Standardized Device Manual</w:t>
      </w:r>
    </w:p>
    <w:p>
      <w:pPr>
        <w:spacing w:before="0" w:after="320"/>
        <w:jc w:val="center"/>
      </w:pPr>
      <w:r>
        <w:drawing>
          <wp:inline xmlns:a="http://schemas.openxmlformats.org/drawingml/2006/main" xmlns:pic="http://schemas.openxmlformats.org/drawingml/2006/picture">
            <wp:extent cx="4297680" cy="4297680"/>
            <wp:docPr id="1" name="Picture 1" descr="KS51 Water Leakage Sensor V1.0" title="KS51 Water Leakage Sensor V1.0"/>
            <wp:cNvGraphicFramePr>
              <a:graphicFrameLocks noChangeAspect="1"/>
            </wp:cNvGraphicFramePr>
            <a:graphic>
              <a:graphicData uri="http://schemas.openxmlformats.org/drawingml/2006/picture">
                <pic:pic>
                  <pic:nvPicPr>
                    <pic:cNvPr id="0" name="830381e61d09bc8a78db.jpg"/>
                    <pic:cNvPicPr/>
                  </pic:nvPicPr>
                  <pic:blipFill>
                    <a:blip r:embed="rId11"/>
                    <a:stretch>
                      <a:fillRect/>
                    </a:stretch>
                  </pic:blipFill>
                  <pic:spPr>
                    <a:xfrm>
                      <a:off x="0" y="0"/>
                      <a:ext cx="4297680" cy="4297680"/>
                    </a:xfrm>
                    <a:prstGeom prst="rect"/>
                  </pic:spPr>
                </pic:pic>
              </a:graphicData>
            </a:graphic>
          </wp:inline>
        </w:drawing>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4680"/>
        <w:gridCol w:w="4680"/>
      </w:tblGrid>
      <w:tr>
        <w:trPr>
          <w:cantSplit/>
        </w:trPr>
        <w:tc>
          <w:tcPr>
            <w:tcW w:type="dxa" w:w="4680"/>
            <w:tcMar>
              <w:top w:w="80" w:type="dxa"/>
              <w:bottom w:w="80" w:type="dxa"/>
              <w:start w:w="120" w:type="dxa"/>
              <w:end w:w="120" w:type="dxa"/>
            </w:tcMar>
            <w:vAlign w:val="center"/>
            <w:shd w:fill="E8F1F6"/>
          </w:tcPr>
          <w:p>
            <w:pPr>
              <w:spacing w:after="0"/>
            </w:pPr>
            <w:r>
              <w:rPr>
                <w:rFonts w:ascii="Arial" w:hAnsi="Arial" w:eastAsia="Arial Unicode MS" w:cs="Arial"/>
                <w:b/>
                <w:color w:val="607181"/>
                <w:sz w:val="16"/>
              </w:rPr>
              <w:t>VERSION</w:t>
              <w:br/>
            </w:r>
            <w:r>
              <w:rPr>
                <w:rFonts w:ascii="Arial" w:hAnsi="Arial" w:eastAsia="Arial Unicode MS" w:cs="Arial"/>
                <w:b/>
                <w:color w:val="18324A"/>
                <w:sz w:val="22"/>
              </w:rPr>
              <w:t>当前版本</w:t>
            </w:r>
          </w:p>
        </w:tc>
        <w:tc>
          <w:tcPr>
            <w:tcW w:type="dxa" w:w="4680"/>
            <w:tcMar>
              <w:top w:w="80" w:type="dxa"/>
              <w:bottom w:w="80" w:type="dxa"/>
              <w:start w:w="120" w:type="dxa"/>
              <w:end w:w="120" w:type="dxa"/>
            </w:tcMar>
            <w:vAlign w:val="center"/>
            <w:shd w:fill="E8F1F6"/>
          </w:tcPr>
          <w:p>
            <w:pPr>
              <w:spacing w:after="0"/>
            </w:pPr>
            <w:r>
              <w:rPr>
                <w:rFonts w:ascii="Arial" w:hAnsi="Arial" w:eastAsia="Arial Unicode MS" w:cs="Arial"/>
                <w:b/>
                <w:color w:val="607181"/>
                <w:sz w:val="16"/>
              </w:rPr>
              <w:t>DOCUMENT</w:t>
              <w:br/>
            </w:r>
            <w:r>
              <w:rPr>
                <w:rFonts w:ascii="Arial" w:hAnsi="Arial" w:eastAsia="Arial Unicode MS" w:cs="Arial"/>
                <w:b/>
                <w:color w:val="18324A"/>
                <w:sz w:val="22"/>
              </w:rPr>
              <w:t>Device Manual</w:t>
            </w:r>
          </w:p>
        </w:tc>
      </w:tr>
    </w:tbl>
    <w:p>
      <w:r>
        <w:br w:type="page"/>
      </w:r>
    </w:p>
    <w:p>
      <w:pPr>
        <w:pStyle w:val="Heading1"/>
      </w:pPr>
      <w:r>
        <w:rPr>
          <w:rFonts w:ascii="Arial" w:hAnsi="Arial" w:eastAsia="Arial Unicode MS" w:cs="Arial"/>
          <w:color w:val="1E6F9F"/>
          <w:sz w:val="32"/>
        </w:rPr>
        <w:t>Product Description</w:t>
      </w:r>
    </w:p>
    <w:p>
      <w:r>
        <w:rPr>
          <w:rFonts w:ascii="Arial" w:hAnsi="Arial" w:eastAsia="Arial Unicode MS" w:cs="Arial"/>
          <w:color w:val="243442"/>
          <w:sz w:val="22"/>
        </w:rPr>
        <w:t>KS51 is a wireless water leakage detector sensor device, which monitors whether there is a water leakage event in the area monitored by the probe in real time through the sensor. When a water leakage event occurs, the alarm information is triggered and transmit to the application platform through LoRa signal.</w:t>
      </w:r>
    </w:p>
    <w:p>
      <w:r>
        <w:rPr>
          <w:rFonts w:ascii="Arial" w:hAnsi="Arial" w:eastAsia="Arial Unicode MS" w:cs="Arial"/>
          <w:color w:val="243442"/>
          <w:sz w:val="22"/>
        </w:rPr>
        <w:t>KS51 periodically sends heartbeat information to ensure that the application platform monitors the  status of the device in real time. The default configuration period is 3 hours. The user can set the sampling period and the heartbeat period through the palm machine or the management platform.</w:t>
      </w:r>
    </w:p>
    <w:p>
      <w:r>
        <w:rPr>
          <w:rFonts w:ascii="Arial" w:hAnsi="Arial" w:eastAsia="Arial Unicode MS" w:cs="Arial"/>
          <w:color w:val="243442"/>
          <w:sz w:val="22"/>
        </w:rPr>
        <w:t>Supports LoRaWAN and LinkWAN protocols, IP65 protection level.</w:t>
      </w:r>
    </w:p>
    <w:p>
      <w:r>
        <w:rPr>
          <w:rFonts w:ascii="Arial" w:hAnsi="Arial" w:eastAsia="Arial Unicode MS" w:cs="Arial"/>
          <w:color w:val="243442"/>
          <w:sz w:val="22"/>
        </w:rPr>
        <w:t>KS51 through real-time monitoring of flooding events, and alarm, the first time to inform the management of the flooding site for timely treatment, for storage, warehouse, factory and other events to protect, to avoid the loss of goods or equipment due to flooding events.</w:t>
      </w:r>
    </w:p>
    <w:p>
      <w:r>
        <w:rPr>
          <w:rFonts w:ascii="Arial" w:hAnsi="Arial" w:eastAsia="Arial Unicode MS" w:cs="Arial"/>
          <w:color w:val="243442"/>
          <w:sz w:val="22"/>
        </w:rPr>
        <w:t>KS51 based on LoRa®Wireless technology, supports standard LoRaWAN®Networking communication has the characteristics of long communication distance and low power consumption. The product has 4 built-in 2700 mAh large-capacity lithium battery, the battery life is  more than 8 years.</w:t>
      </w:r>
    </w:p>
    <w:p>
      <w:r>
        <w:rPr>
          <w:rFonts w:ascii="Arial" w:hAnsi="Arial" w:eastAsia="Arial Unicode MS" w:cs="Arial"/>
          <w:color w:val="243442"/>
          <w:sz w:val="22"/>
        </w:rPr>
        <w:t>KS51  support with ManThink/3rd party LoRaWAN gateway, is combined with the ThinkLink/Chirp stack/TTN third-party Internet of Things platform to realize point-type and rope-type interfaces.</w:t>
      </w:r>
    </w:p>
    <w:p>
      <w:r>
        <w:rPr>
          <w:rFonts w:ascii="Arial" w:hAnsi="Arial" w:eastAsia="Arial Unicode MS" w:cs="Arial"/>
          <w:color w:val="243442"/>
          <w:sz w:val="22"/>
        </w:rPr>
        <w:t>KS51 has a high protection level of IP65, which can be widely applied to the management requirements of smart industries, smart buildings and other scenarios.</w:t>
      </w:r>
    </w:p>
    <w:p>
      <w:pPr>
        <w:pStyle w:val="Heading1"/>
      </w:pPr>
      <w:r>
        <w:rPr>
          <w:rFonts w:ascii="Arial" w:hAnsi="Arial" w:eastAsia="Arial Unicode MS" w:cs="Arial"/>
          <w:color w:val="1E6F9F"/>
          <w:sz w:val="32"/>
        </w:rPr>
        <w:t>Application Areas</w:t>
      </w:r>
    </w:p>
    <w:p>
      <w:pPr>
        <w:pStyle w:val="ListBullet"/>
        <w:ind w:left="540" w:hanging="271"/>
      </w:pPr>
      <w:r>
        <w:rPr>
          <w:rFonts w:ascii="Arial" w:hAnsi="Arial" w:eastAsia="Arial Unicode MS" w:cs="Arial"/>
          <w:color w:val="243442"/>
          <w:sz w:val="22"/>
        </w:rPr>
        <w:t>Warehousing and warehouse of logistics</w:t>
      </w:r>
    </w:p>
    <w:p>
      <w:pPr>
        <w:pStyle w:val="ListBullet"/>
        <w:ind w:left="540" w:hanging="271"/>
      </w:pPr>
      <w:r>
        <w:rPr>
          <w:rFonts w:ascii="Arial" w:hAnsi="Arial" w:eastAsia="Arial Unicode MS" w:cs="Arial"/>
          <w:color w:val="243442"/>
          <w:sz w:val="22"/>
        </w:rPr>
        <w:t>Data Center and Service Room</w:t>
      </w:r>
    </w:p>
    <w:p>
      <w:pPr>
        <w:pStyle w:val="ListBullet"/>
        <w:ind w:left="540" w:hanging="271"/>
      </w:pPr>
      <w:r>
        <w:rPr>
          <w:rFonts w:ascii="Arial" w:hAnsi="Arial" w:eastAsia="Arial Unicode MS" w:cs="Arial"/>
          <w:color w:val="243442"/>
          <w:sz w:val="22"/>
        </w:rPr>
        <w:t>Unattended factory, workshop</w:t>
      </w:r>
    </w:p>
    <w:p>
      <w:pPr>
        <w:pStyle w:val="ListBullet"/>
        <w:ind w:left="540" w:hanging="271"/>
      </w:pPr>
      <w:r>
        <w:rPr>
          <w:rFonts w:ascii="Arial" w:hAnsi="Arial" w:eastAsia="Arial Unicode MS" w:cs="Arial"/>
          <w:color w:val="243442"/>
          <w:sz w:val="22"/>
        </w:rPr>
        <w:t>Smart Home, Smart Building</w:t>
      </w:r>
    </w:p>
    <w:p>
      <w:pPr>
        <w:pStyle w:val="Heading1"/>
      </w:pPr>
      <w:r>
        <w:rPr>
          <w:rFonts w:ascii="Arial" w:hAnsi="Arial" w:eastAsia="Arial Unicode MS" w:cs="Arial"/>
          <w:color w:val="1E6F9F"/>
          <w:sz w:val="32"/>
        </w:rPr>
        <w:t>Key Features</w:t>
      </w:r>
    </w:p>
    <w:p>
      <w:pPr>
        <w:pStyle w:val="ListBullet"/>
        <w:ind w:left="540" w:hanging="271"/>
      </w:pPr>
      <w:r>
        <w:rPr>
          <w:rFonts w:ascii="Arial" w:hAnsi="Arial" w:eastAsia="Arial Unicode MS" w:cs="Arial"/>
          <w:color w:val="243442"/>
          <w:sz w:val="22"/>
        </w:rPr>
        <w:t>Low battery voltage alarm</w:t>
      </w:r>
    </w:p>
    <w:p>
      <w:pPr>
        <w:pStyle w:val="ListBullet"/>
        <w:ind w:left="540" w:hanging="271"/>
      </w:pPr>
      <w:r>
        <w:rPr>
          <w:rFonts w:ascii="Arial" w:hAnsi="Arial" w:eastAsia="Arial Unicode MS" w:cs="Arial"/>
          <w:color w:val="243442"/>
          <w:sz w:val="22"/>
        </w:rPr>
        <w:t>Equipment failure alarm</w:t>
      </w:r>
    </w:p>
    <w:p>
      <w:pPr>
        <w:pStyle w:val="ListBullet"/>
        <w:ind w:left="540" w:hanging="271"/>
      </w:pPr>
      <w:r>
        <w:rPr>
          <w:rFonts w:ascii="Arial" w:hAnsi="Arial" w:eastAsia="Arial Unicode MS" w:cs="Arial"/>
          <w:color w:val="243442"/>
          <w:sz w:val="22"/>
        </w:rPr>
        <w:t>Support ThinkLink platform operation and maintenance</w:t>
      </w:r>
    </w:p>
    <w:p>
      <w:pPr>
        <w:pStyle w:val="ListBullet"/>
        <w:ind w:left="540" w:hanging="271"/>
      </w:pPr>
      <w:r>
        <w:rPr>
          <w:rFonts w:ascii="Arial" w:hAnsi="Arial" w:eastAsia="Arial Unicode MS" w:cs="Arial"/>
          <w:color w:val="243442"/>
          <w:sz w:val="22"/>
        </w:rPr>
        <w:t>LoRa modulation, receiving sensitivity up to-139dBm</w:t>
      </w:r>
    </w:p>
    <w:p>
      <w:pPr>
        <w:pStyle w:val="ListBullet"/>
        <w:ind w:left="540" w:hanging="271"/>
      </w:pPr>
      <w:r>
        <w:rPr>
          <w:rFonts w:ascii="Arial" w:hAnsi="Arial" w:eastAsia="Arial Unicode MS" w:cs="Arial"/>
          <w:color w:val="243442"/>
          <w:sz w:val="22"/>
        </w:rPr>
        <w:t>Standby power consumption &lt;5uA</w:t>
      </w:r>
    </w:p>
    <w:p>
      <w:pPr>
        <w:pStyle w:val="ListBullet"/>
        <w:ind w:left="540" w:hanging="271"/>
      </w:pPr>
      <w:r>
        <w:rPr>
          <w:rFonts w:ascii="Arial" w:hAnsi="Arial" w:eastAsia="Arial Unicode MS" w:cs="Arial"/>
          <w:color w:val="243442"/>
          <w:sz w:val="22"/>
        </w:rPr>
        <w:t>High energy density lithium battery, to ensure that the product has a continuous working life of 8 years (3 hours heartbeat cycle)</w:t>
      </w:r>
    </w:p>
    <w:p>
      <w:pPr>
        <w:pStyle w:val="ListBullet"/>
        <w:ind w:left="540" w:hanging="271"/>
      </w:pPr>
      <w:r>
        <w:rPr>
          <w:rFonts w:ascii="Arial" w:hAnsi="Arial" w:eastAsia="Arial Unicode MS" w:cs="Arial"/>
          <w:color w:val="243442"/>
          <w:sz w:val="22"/>
        </w:rPr>
        <w:t>Support US902,AU915,AS923,EU868,EU433,CN470 LoRaWAN standard.</w:t>
      </w:r>
    </w:p>
    <w:p>
      <w:pPr>
        <w:pStyle w:val="Heading1"/>
      </w:pPr>
      <w:r>
        <w:rPr>
          <w:rFonts w:ascii="Arial" w:hAnsi="Arial" w:eastAsia="Arial Unicode MS" w:cs="Arial"/>
          <w:color w:val="1E6F9F"/>
          <w:sz w:val="32"/>
        </w:rPr>
        <w:t>Specifications</w:t>
      </w: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INTERFACE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Connect Type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PG7, point/rope</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Number of interfaces</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1</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Display</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None</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WIRELESS PARAMETERS</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Communication Protocol</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Standard LoRaWAN®Agreement</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Regional Standards</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CN470/EU433/EU868/AS923/AU915/Us902</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Transmit Power</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Maximum Support 22dBm ( can be changed)</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Receiving sensitivity</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-142dBm(SF=12,BW=125kHz)</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Working mode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OTAA/ABP Class A</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CONFIGURATION</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Test /Trigger mode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The magnet 2 seconds trigger heartbeat data 6 seconds trigger into the network</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Parameter configuration</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By NS issue instruction</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PHYSICAL CHARACTERISTICS</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Power supply</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4*2700 mAh ER14505 lithium battery</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Sleep current</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&lt;5uA (25 ℃ at room temperature)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Emission current</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&lt;110mA (22dBm transmit power)</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Battery life</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8 years (3 hours heartbeat cycle, 25 ℃ at room temperature)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Working temperature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-40°C ~85°C</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Relative humidity</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≤95% (no condensation)</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Protection level</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IP65</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Material &amp; Color</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ABS + PC, White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Dimensions</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120mm * 72mm * 28mm</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Installation method</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Wall Hanging</w:t>
            </w:r>
          </w:p>
        </w:tc>
      </w:tr>
    </w:tbl>
    <w:p>
      <w:pPr>
        <w:spacing w:after="40"/>
      </w:pPr>
    </w:p>
    <w:p>
      <w:pPr>
        <w:pStyle w:val="Heading1"/>
      </w:pPr>
      <w:r>
        <w:rPr>
          <w:rFonts w:ascii="Arial" w:hAnsi="Arial" w:eastAsia="Arial Unicode MS" w:cs="Arial"/>
          <w:color w:val="1E6F9F"/>
          <w:sz w:val="32"/>
        </w:rPr>
        <w:t>Dimensions and Interfaces</w:t>
      </w:r>
    </w:p>
    <w:p>
      <w:pPr>
        <w:spacing w:before="80" w:after="40"/>
        <w:jc w:val="center"/>
      </w:pPr>
      <w:r>
        <w:drawing>
          <wp:inline xmlns:a="http://schemas.openxmlformats.org/drawingml/2006/main" xmlns:pic="http://schemas.openxmlformats.org/drawingml/2006/picture">
            <wp:extent cx="5245998" cy="5303520"/>
            <wp:docPr id="2" name="Picture 2" descr="Dimensions and Interfaces" title="Dimensions and Interfaces"/>
            <wp:cNvGraphicFramePr>
              <a:graphicFrameLocks noChangeAspect="1"/>
            </wp:cNvGraphicFramePr>
            <a:graphic>
              <a:graphicData uri="http://schemas.openxmlformats.org/drawingml/2006/picture">
                <pic:pic>
                  <pic:nvPicPr>
                    <pic:cNvPr id="0" name="85cb4c10-3aed-4d62-93b3-c1c4f66f58ed.png"/>
                    <pic:cNvPicPr/>
                  </pic:nvPicPr>
                  <pic:blipFill>
                    <a:blip r:embed="rId12"/>
                    <a:stretch>
                      <a:fillRect/>
                    </a:stretch>
                  </pic:blipFill>
                  <pic:spPr>
                    <a:xfrm>
                      <a:off x="0" y="0"/>
                      <a:ext cx="5245998" cy="5303520"/>
                    </a:xfrm>
                    <a:prstGeom prst="rect"/>
                  </pic:spPr>
                </pic:pic>
              </a:graphicData>
            </a:graphic>
          </wp:inline>
        </w:drawing>
      </w:r>
    </w:p>
    <w:p>
      <w:pPr>
        <w:pStyle w:val="FigureCaption"/>
      </w:pPr>
      <w:r>
        <w:t>Figure  Dimensions and Interfaces</w:t>
      </w: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No.</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Interface</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1</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LoRa antenna interface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2</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Point/rope sensor interface</w:t>
            </w:r>
          </w:p>
        </w:tc>
      </w:tr>
    </w:tbl>
    <w:p>
      <w:pPr>
        <w:spacing w:after="40"/>
      </w:pPr>
    </w:p>
    <w:p>
      <w:pPr>
        <w:pStyle w:val="Heading1"/>
      </w:pPr>
      <w:r>
        <w:rPr>
          <w:rFonts w:ascii="Arial" w:hAnsi="Arial" w:eastAsia="Arial Unicode MS" w:cs="Arial"/>
          <w:color w:val="1E6F9F"/>
          <w:sz w:val="32"/>
        </w:rPr>
        <w:t>Product Model</w:t>
      </w:r>
    </w:p>
    <w:p>
      <w:pPr>
        <w:pStyle w:val="Heading2"/>
      </w:pPr>
      <w:r>
        <w:rPr>
          <w:rFonts w:ascii="Arial" w:hAnsi="Arial" w:eastAsia="Arial Unicode MS" w:cs="Arial"/>
          <w:color w:val="1E6F9F"/>
          <w:sz w:val="26"/>
        </w:rPr>
        <w:t>Model example</w:t>
      </w:r>
    </w:p>
    <w:p>
      <w:r>
        <w:rPr>
          <w:rFonts w:ascii="Menlo" w:hAnsi="Menlo" w:eastAsia="Arial Unicode MS" w:cs="Menlo"/>
          <w:color w:val="18324A"/>
          <w:sz w:val="21"/>
        </w:rPr>
        <w:t>KS518-A1-AS923-N</w:t>
      </w:r>
    </w:p>
    <w:p>
      <w:pPr>
        <w:pStyle w:val="Heading2"/>
      </w:pPr>
      <w:r>
        <w:rPr>
          <w:rFonts w:ascii="Arial" w:hAnsi="Arial" w:eastAsia="Arial Unicode MS" w:cs="Arial"/>
          <w:color w:val="1E6F9F"/>
          <w:sz w:val="26"/>
        </w:rPr>
        <w:t>Model component breakdown</w:t>
      </w:r>
    </w:p>
    <w:p>
      <w:pPr>
        <w:pStyle w:val="ListBullet"/>
        <w:ind w:left="540" w:hanging="271"/>
      </w:pPr>
      <w:r>
        <w:rPr>
          <w:rFonts w:ascii="Arial" w:hAnsi="Arial" w:eastAsia="Arial Unicode MS" w:cs="Arial"/>
          <w:b/>
          <w:color w:val="243442"/>
          <w:sz w:val="22"/>
        </w:rPr>
        <w:t>KS518: product series and RF band.</w:t>
      </w:r>
    </w:p>
    <w:p>
      <w:pPr>
        <w:pStyle w:val="ListBullet"/>
        <w:ind w:left="900" w:hanging="271"/>
      </w:pPr>
      <w:r>
        <w:rPr>
          <w:rFonts w:ascii="Menlo" w:hAnsi="Menlo" w:eastAsia="Arial Unicode MS" w:cs="Menlo"/>
          <w:color w:val="18324A"/>
          <w:sz w:val="21"/>
        </w:rPr>
        <w:t>KS51</w:t>
      </w:r>
      <w:r>
        <w:rPr>
          <w:rFonts w:ascii="Arial" w:hAnsi="Arial" w:eastAsia="Arial Unicode MS" w:cs="Arial"/>
          <w:color w:val="243442"/>
          <w:sz w:val="22"/>
        </w:rPr>
        <w:t xml:space="preserve"> identifies a second-generation IP65 water-leak sensor.</w:t>
      </w:r>
    </w:p>
    <w:p>
      <w:pPr>
        <w:pStyle w:val="ListBullet"/>
        <w:ind w:left="900" w:hanging="271"/>
      </w:pPr>
      <w:r>
        <w:rPr>
          <w:rFonts w:ascii="Menlo" w:hAnsi="Menlo" w:eastAsia="Arial Unicode MS" w:cs="Menlo"/>
          <w:color w:val="18324A"/>
          <w:sz w:val="21"/>
        </w:rPr>
        <w:t>8</w:t>
      </w:r>
      <w:r>
        <w:rPr>
          <w:rFonts w:ascii="Arial" w:hAnsi="Arial" w:eastAsia="Arial Unicode MS" w:cs="Arial"/>
          <w:color w:val="243442"/>
          <w:sz w:val="22"/>
        </w:rPr>
        <w:t xml:space="preserve"> identifies the 800 MHz-and-above RF version for EU868, AS923, AU915 and US902.</w:t>
      </w:r>
    </w:p>
    <w:p>
      <w:pPr>
        <w:pStyle w:val="ListBullet"/>
        <w:ind w:left="900" w:hanging="271"/>
      </w:pPr>
      <w:r>
        <w:rPr>
          <w:rFonts w:ascii="Arial" w:hAnsi="Arial" w:eastAsia="Arial Unicode MS" w:cs="Arial"/>
          <w:color w:val="243442"/>
          <w:sz w:val="22"/>
        </w:rPr>
        <w:t xml:space="preserve">Other band option: </w:t>
      </w:r>
      <w:r>
        <w:rPr>
          <w:rFonts w:ascii="Menlo" w:hAnsi="Menlo" w:eastAsia="Arial Unicode MS" w:cs="Menlo"/>
          <w:color w:val="18324A"/>
          <w:sz w:val="21"/>
        </w:rPr>
        <w:t>4</w:t>
      </w:r>
      <w:r>
        <w:rPr>
          <w:rFonts w:ascii="Arial" w:hAnsi="Arial" w:eastAsia="Arial Unicode MS" w:cs="Arial"/>
          <w:color w:val="243442"/>
          <w:sz w:val="22"/>
        </w:rPr>
        <w:t xml:space="preserve"> identifies the 400 MHz RF version for EU433 and CN470.</w:t>
      </w:r>
    </w:p>
    <w:p>
      <w:pPr>
        <w:pStyle w:val="ListBullet"/>
        <w:ind w:left="540" w:hanging="271"/>
      </w:pPr>
      <w:r>
        <w:rPr>
          <w:rFonts w:ascii="Arial" w:hAnsi="Arial" w:eastAsia="Arial Unicode MS" w:cs="Arial"/>
          <w:b/>
          <w:color w:val="243442"/>
          <w:sz w:val="22"/>
        </w:rPr>
        <w:t>-A1: sensor type and power configuration.</w:t>
      </w:r>
    </w:p>
    <w:p>
      <w:pPr>
        <w:pStyle w:val="ListBullet"/>
        <w:ind w:left="900" w:hanging="271"/>
      </w:pPr>
      <w:r>
        <w:rPr>
          <w:rFonts w:ascii="Menlo" w:hAnsi="Menlo" w:eastAsia="Arial Unicode MS" w:cs="Menlo"/>
          <w:color w:val="18324A"/>
          <w:sz w:val="21"/>
        </w:rPr>
        <w:t>A</w:t>
      </w:r>
      <w:r>
        <w:rPr>
          <w:rFonts w:ascii="Arial" w:hAnsi="Arial" w:eastAsia="Arial Unicode MS" w:cs="Arial"/>
          <w:color w:val="243442"/>
          <w:sz w:val="22"/>
        </w:rPr>
        <w:t xml:space="preserve"> identifies point water-leak detection.</w:t>
      </w:r>
    </w:p>
    <w:p>
      <w:pPr>
        <w:pStyle w:val="ListBullet"/>
        <w:ind w:left="900" w:hanging="271"/>
      </w:pPr>
      <w:r>
        <w:rPr>
          <w:rFonts w:ascii="Arial" w:hAnsi="Arial" w:eastAsia="Arial Unicode MS" w:cs="Arial"/>
          <w:color w:val="243442"/>
          <w:sz w:val="22"/>
        </w:rPr>
        <w:t xml:space="preserve">Other sensor option: </w:t>
      </w:r>
      <w:r>
        <w:rPr>
          <w:rFonts w:ascii="Menlo" w:hAnsi="Menlo" w:eastAsia="Arial Unicode MS" w:cs="Menlo"/>
          <w:color w:val="18324A"/>
          <w:sz w:val="21"/>
        </w:rPr>
        <w:t>B</w:t>
      </w:r>
      <w:r>
        <w:rPr>
          <w:rFonts w:ascii="Arial" w:hAnsi="Arial" w:eastAsia="Arial Unicode MS" w:cs="Arial"/>
          <w:color w:val="243442"/>
          <w:sz w:val="22"/>
        </w:rPr>
        <w:t xml:space="preserve"> identifies rope water-leak detection.</w:t>
      </w:r>
    </w:p>
    <w:p>
      <w:pPr>
        <w:pStyle w:val="ListBullet"/>
        <w:ind w:left="900" w:hanging="271"/>
      </w:pPr>
      <w:r>
        <w:rPr>
          <w:rFonts w:ascii="Menlo" w:hAnsi="Menlo" w:eastAsia="Arial Unicode MS" w:cs="Menlo"/>
          <w:color w:val="18324A"/>
          <w:sz w:val="21"/>
        </w:rPr>
        <w:t>1</w:t>
      </w:r>
      <w:r>
        <w:rPr>
          <w:rFonts w:ascii="Arial" w:hAnsi="Arial" w:eastAsia="Arial Unicode MS" w:cs="Arial"/>
          <w:color w:val="243442"/>
          <w:sz w:val="22"/>
        </w:rPr>
        <w:t xml:space="preserve"> identifies a built-in 10800 mAh battery.</w:t>
      </w:r>
    </w:p>
    <w:p>
      <w:pPr>
        <w:pStyle w:val="ListBullet"/>
        <w:ind w:left="900" w:hanging="271"/>
      </w:pPr>
      <w:r>
        <w:rPr>
          <w:rFonts w:ascii="Arial" w:hAnsi="Arial" w:eastAsia="Arial Unicode MS" w:cs="Arial"/>
          <w:color w:val="243442"/>
          <w:sz w:val="22"/>
        </w:rPr>
        <w:t xml:space="preserve">Other power option: </w:t>
      </w:r>
      <w:r>
        <w:rPr>
          <w:rFonts w:ascii="Menlo" w:hAnsi="Menlo" w:eastAsia="Arial Unicode MS" w:cs="Menlo"/>
          <w:color w:val="18324A"/>
          <w:sz w:val="21"/>
        </w:rPr>
        <w:t>2</w:t>
      </w:r>
      <w:r>
        <w:rPr>
          <w:rFonts w:ascii="Arial" w:hAnsi="Arial" w:eastAsia="Arial Unicode MS" w:cs="Arial"/>
          <w:color w:val="243442"/>
          <w:sz w:val="22"/>
        </w:rPr>
        <w:t xml:space="preserve"> identifies external DC 5–24 V input.</w:t>
      </w:r>
    </w:p>
    <w:p>
      <w:pPr>
        <w:pStyle w:val="ListBullet"/>
        <w:ind w:left="540" w:hanging="271"/>
      </w:pPr>
      <w:r>
        <w:rPr>
          <w:rFonts w:ascii="Arial" w:hAnsi="Arial" w:eastAsia="Arial Unicode MS" w:cs="Arial"/>
          <w:b/>
          <w:color w:val="243442"/>
          <w:sz w:val="22"/>
        </w:rPr>
        <w:t>-AS923: LoRaWAN regional standard.</w:t>
      </w:r>
    </w:p>
    <w:p>
      <w:pPr>
        <w:pStyle w:val="ListBullet"/>
        <w:ind w:left="900" w:hanging="271"/>
      </w:pPr>
      <w:r>
        <w:rPr>
          <w:rFonts w:ascii="Menlo" w:hAnsi="Menlo" w:eastAsia="Arial Unicode MS" w:cs="Menlo"/>
          <w:color w:val="18324A"/>
          <w:sz w:val="21"/>
        </w:rPr>
        <w:t>AS923</w:t>
      </w:r>
      <w:r>
        <w:rPr>
          <w:rFonts w:ascii="Arial" w:hAnsi="Arial" w:eastAsia="Arial Unicode MS" w:cs="Arial"/>
          <w:color w:val="243442"/>
          <w:sz w:val="22"/>
        </w:rPr>
        <w:t xml:space="preserve"> means that the device supports the LoRaWAN AS923 regional parameters.</w:t>
      </w:r>
    </w:p>
    <w:p>
      <w:pPr>
        <w:pStyle w:val="ListBullet"/>
        <w:ind w:left="900" w:hanging="271"/>
      </w:pPr>
      <w:r>
        <w:rPr>
          <w:rFonts w:ascii="Arial" w:hAnsi="Arial" w:eastAsia="Arial Unicode MS" w:cs="Arial"/>
          <w:color w:val="243442"/>
          <w:sz w:val="22"/>
        </w:rPr>
        <w:t xml:space="preserve">Other regional codes are </w:t>
      </w:r>
      <w:r>
        <w:rPr>
          <w:rFonts w:ascii="Menlo" w:hAnsi="Menlo" w:eastAsia="Arial Unicode MS" w:cs="Menlo"/>
          <w:color w:val="18324A"/>
          <w:sz w:val="21"/>
        </w:rPr>
        <w:t>CN470</w:t>
      </w:r>
      <w:r>
        <w:rPr>
          <w:rFonts w:ascii="Arial" w:hAnsi="Arial" w:eastAsia="Arial Unicode MS" w:cs="Arial"/>
          <w:color w:val="243442"/>
          <w:sz w:val="22"/>
        </w:rPr>
        <w:t xml:space="preserve">, </w:t>
      </w:r>
      <w:r>
        <w:rPr>
          <w:rFonts w:ascii="Menlo" w:hAnsi="Menlo" w:eastAsia="Arial Unicode MS" w:cs="Menlo"/>
          <w:color w:val="18324A"/>
          <w:sz w:val="21"/>
        </w:rPr>
        <w:t>EU433</w:t>
      </w:r>
      <w:r>
        <w:rPr>
          <w:rFonts w:ascii="Arial" w:hAnsi="Arial" w:eastAsia="Arial Unicode MS" w:cs="Arial"/>
          <w:color w:val="243442"/>
          <w:sz w:val="22"/>
        </w:rPr>
        <w:t xml:space="preserve">, </w:t>
      </w:r>
      <w:r>
        <w:rPr>
          <w:rFonts w:ascii="Menlo" w:hAnsi="Menlo" w:eastAsia="Arial Unicode MS" w:cs="Menlo"/>
          <w:color w:val="18324A"/>
          <w:sz w:val="21"/>
        </w:rPr>
        <w:t>EU868</w:t>
      </w:r>
      <w:r>
        <w:rPr>
          <w:rFonts w:ascii="Arial" w:hAnsi="Arial" w:eastAsia="Arial Unicode MS" w:cs="Arial"/>
          <w:color w:val="243442"/>
          <w:sz w:val="22"/>
        </w:rPr>
        <w:t xml:space="preserve">, </w:t>
      </w:r>
      <w:r>
        <w:rPr>
          <w:rFonts w:ascii="Menlo" w:hAnsi="Menlo" w:eastAsia="Arial Unicode MS" w:cs="Menlo"/>
          <w:color w:val="18324A"/>
          <w:sz w:val="21"/>
        </w:rPr>
        <w:t>AU915</w:t>
      </w:r>
      <w:r>
        <w:rPr>
          <w:rFonts w:ascii="Arial" w:hAnsi="Arial" w:eastAsia="Arial Unicode MS" w:cs="Arial"/>
          <w:color w:val="243442"/>
          <w:sz w:val="22"/>
        </w:rPr>
        <w:t xml:space="preserve"> and </w:t>
      </w:r>
      <w:r>
        <w:rPr>
          <w:rFonts w:ascii="Menlo" w:hAnsi="Menlo" w:eastAsia="Arial Unicode MS" w:cs="Menlo"/>
          <w:color w:val="18324A"/>
          <w:sz w:val="21"/>
        </w:rPr>
        <w:t>US902</w:t>
      </w:r>
      <w:r>
        <w:rPr>
          <w:rFonts w:ascii="Arial" w:hAnsi="Arial" w:eastAsia="Arial Unicode MS" w:cs="Arial"/>
          <w:color w:val="243442"/>
          <w:sz w:val="22"/>
        </w:rPr>
        <w:t xml:space="preserve">; </w:t>
      </w:r>
      <w:r>
        <w:rPr>
          <w:rFonts w:ascii="Menlo" w:hAnsi="Menlo" w:eastAsia="Arial Unicode MS" w:cs="Menlo"/>
          <w:color w:val="18324A"/>
          <w:sz w:val="21"/>
        </w:rPr>
        <w:t>US902</w:t>
      </w:r>
      <w:r>
        <w:rPr>
          <w:rFonts w:ascii="Arial" w:hAnsi="Arial" w:eastAsia="Arial Unicode MS" w:cs="Arial"/>
          <w:color w:val="243442"/>
          <w:sz w:val="22"/>
        </w:rPr>
        <w:t xml:space="preserve"> denotes the LoRaWAN US915 (902–928 MHz) regional parameters.</w:t>
      </w:r>
    </w:p>
    <w:p>
      <w:pPr>
        <w:pStyle w:val="ListBullet"/>
        <w:ind w:left="540" w:hanging="271"/>
      </w:pPr>
      <w:r>
        <w:rPr>
          <w:rFonts w:ascii="Arial" w:hAnsi="Arial" w:eastAsia="Arial Unicode MS" w:cs="Arial"/>
          <w:b/>
          <w:color w:val="243442"/>
          <w:sz w:val="22"/>
        </w:rPr>
        <w:t>-N: default version.</w:t>
      </w:r>
    </w:p>
    <w:p>
      <w:pPr>
        <w:pStyle w:val="ListBullet"/>
        <w:ind w:left="900" w:hanging="271"/>
      </w:pPr>
      <w:r>
        <w:rPr>
          <w:rFonts w:ascii="Menlo" w:hAnsi="Menlo" w:eastAsia="Arial Unicode MS" w:cs="Menlo"/>
          <w:color w:val="18324A"/>
          <w:sz w:val="21"/>
        </w:rPr>
        <w:t>N</w:t>
      </w:r>
      <w:r>
        <w:rPr>
          <w:rFonts w:ascii="Arial" w:hAnsi="Arial" w:eastAsia="Arial Unicode MS" w:cs="Arial"/>
          <w:color w:val="243442"/>
          <w:sz w:val="22"/>
        </w:rPr>
        <w:t xml:space="preserve"> identifies the default version.</w:t>
      </w:r>
    </w:p>
    <w:p>
      <w:pPr>
        <w:pStyle w:val="ListBullet"/>
        <w:ind w:left="900" w:hanging="271"/>
      </w:pPr>
      <w:r>
        <w:rPr>
          <w:rFonts w:ascii="Arial" w:hAnsi="Arial" w:eastAsia="Arial Unicode MS" w:cs="Arial"/>
          <w:color w:val="243442"/>
          <w:sz w:val="22"/>
        </w:rPr>
        <w:t>Other values are reserved for customized or special versions.</w:t>
      </w:r>
    </w:p>
    <w:p>
      <w:pPr>
        <w:pStyle w:val="Heading2"/>
      </w:pPr>
      <w:r>
        <w:rPr>
          <w:rFonts w:ascii="Arial" w:hAnsi="Arial" w:eastAsia="Arial Unicode MS" w:cs="Arial"/>
          <w:color w:val="1E6F9F"/>
          <w:sz w:val="26"/>
        </w:rPr>
        <w:t>Complete model meaning</w:t>
      </w:r>
    </w:p>
    <w:p>
      <w:r>
        <w:rPr>
          <w:rFonts w:ascii="Arial" w:hAnsi="Arial" w:eastAsia="Arial Unicode MS" w:cs="Arial"/>
          <w:color w:val="243442"/>
          <w:sz w:val="22"/>
        </w:rPr>
        <w:t xml:space="preserve">The complete meaning of </w:t>
      </w:r>
      <w:r>
        <w:rPr>
          <w:rFonts w:ascii="Menlo" w:hAnsi="Menlo" w:eastAsia="Arial Unicode MS" w:cs="Menlo"/>
          <w:color w:val="18324A"/>
          <w:sz w:val="21"/>
        </w:rPr>
        <w:t>KS518-A1-AS923-N</w:t>
      </w:r>
      <w:r>
        <w:rPr>
          <w:rFonts w:ascii="Arial" w:hAnsi="Arial" w:eastAsia="Arial Unicode MS" w:cs="Arial"/>
          <w:color w:val="243442"/>
          <w:sz w:val="22"/>
        </w:rPr>
        <w:t xml:space="preserve"> is:</w:t>
      </w:r>
    </w:p>
    <w:p>
      <w:r>
        <w:rPr>
          <w:rFonts w:ascii="Arial" w:hAnsi="Arial" w:eastAsia="Arial Unicode MS" w:cs="Arial"/>
          <w:color w:val="243442"/>
          <w:sz w:val="22"/>
        </w:rPr>
        <w:t xml:space="preserve">This is a second-generation IP65 point water-leak sensor in the 800 MHz-and-above RF class. It includes a 10800 mAh battery, supports the LoRaWAN AS923 regional standard, and uses the default final version code </w:t>
      </w:r>
      <w:r>
        <w:rPr>
          <w:rFonts w:ascii="Menlo" w:hAnsi="Menlo" w:eastAsia="Arial Unicode MS" w:cs="Menlo"/>
          <w:color w:val="18324A"/>
          <w:sz w:val="21"/>
        </w:rPr>
        <w:t>N</w:t>
      </w:r>
      <w:r>
        <w:rPr>
          <w:rFonts w:ascii="Arial" w:hAnsi="Arial" w:eastAsia="Arial Unicode MS" w:cs="Arial"/>
          <w:color w:val="243442"/>
          <w:sz w:val="22"/>
        </w:rPr>
        <w:t>.</w:t>
      </w:r>
    </w:p>
    <w:p>
      <w:pPr>
        <w:pStyle w:val="Heading1"/>
      </w:pPr>
      <w:r>
        <w:rPr>
          <w:rFonts w:ascii="Arial" w:hAnsi="Arial" w:eastAsia="Arial Unicode MS" w:cs="Arial"/>
          <w:color w:val="1E6F9F"/>
          <w:sz w:val="32"/>
        </w:rPr>
        <w:t>Instructions for use</w:t>
      </w:r>
    </w:p>
    <w:p>
      <w:pPr>
        <w:pStyle w:val="Heading1"/>
      </w:pPr>
      <w:r>
        <w:rPr>
          <w:rFonts w:ascii="Arial" w:hAnsi="Arial" w:eastAsia="Arial Unicode MS" w:cs="Arial"/>
          <w:color w:val="1E6F9F"/>
          <w:sz w:val="32"/>
        </w:rPr>
        <w:t>Network topology</w:t>
      </w:r>
    </w:p>
    <w:p>
      <w:r>
        <w:rPr>
          <w:rFonts w:ascii="Arial" w:hAnsi="Arial" w:eastAsia="Arial Unicode MS" w:cs="Arial"/>
          <w:color w:val="243442"/>
          <w:sz w:val="22"/>
        </w:rPr>
        <w:t>KS51 is a standard LoRaWAN device, KS51 normal operation requires LoRaWAN network support. You can use the LoRaWAN gateway of ManThink or the LoRaWAN gateway of a third party, and it needs the support of LoRaWAN NS. KS51 supports accessing standard LoRaWAN networks such as ThinkLink, Chirp stack, and TTN. You can use the ThinkLink configuration model to implement business functions, card view presentation, and other business logic.</w:t>
      </w:r>
    </w:p>
    <w:p>
      <w:r>
        <w:rPr>
          <w:rFonts w:ascii="Arial" w:hAnsi="Arial" w:eastAsia="Arial Unicode MS" w:cs="Arial"/>
          <w:color w:val="243442"/>
          <w:sz w:val="22"/>
        </w:rPr>
        <w:t>The LoRaWAN network topology is as follows:</w:t>
      </w:r>
    </w:p>
    <w:p>
      <w:pPr>
        <w:spacing w:before="80" w:after="40"/>
        <w:jc w:val="center"/>
      </w:pPr>
      <w:r>
        <w:drawing>
          <wp:inline xmlns:a="http://schemas.openxmlformats.org/drawingml/2006/main" xmlns:pic="http://schemas.openxmlformats.org/drawingml/2006/picture">
            <wp:extent cx="5532120" cy="4074496"/>
            <wp:docPr id="3" name="Picture 3" descr="Network topology" title="Network topology"/>
            <wp:cNvGraphicFramePr>
              <a:graphicFrameLocks noChangeAspect="1"/>
            </wp:cNvGraphicFramePr>
            <a:graphic>
              <a:graphicData uri="http://schemas.openxmlformats.org/drawingml/2006/picture">
                <pic:pic>
                  <pic:nvPicPr>
                    <pic:cNvPr id="0" name="31b11e52-f2d6-4859-8ba7-650e3b496acd.png"/>
                    <pic:cNvPicPr/>
                  </pic:nvPicPr>
                  <pic:blipFill>
                    <a:blip r:embed="rId13"/>
                    <a:stretch>
                      <a:fillRect/>
                    </a:stretch>
                  </pic:blipFill>
                  <pic:spPr>
                    <a:xfrm>
                      <a:off x="0" y="0"/>
                      <a:ext cx="5532120" cy="4074496"/>
                    </a:xfrm>
                    <a:prstGeom prst="rect"/>
                  </pic:spPr>
                </pic:pic>
              </a:graphicData>
            </a:graphic>
          </wp:inline>
        </w:drawing>
      </w:r>
    </w:p>
    <w:p>
      <w:pPr>
        <w:pStyle w:val="FigureCaption"/>
      </w:pPr>
      <w:r>
        <w:t>Figure  Network topology</w:t>
      </w:r>
    </w:p>
    <w:p>
      <w:pPr>
        <w:pStyle w:val="Heading1"/>
      </w:pPr>
      <w:r>
        <w:rPr>
          <w:rFonts w:ascii="Arial" w:hAnsi="Arial" w:eastAsia="Arial Unicode MS" w:cs="Arial"/>
          <w:color w:val="1E6F9F"/>
          <w:sz w:val="32"/>
        </w:rPr>
        <w:t>Working mode</w:t>
      </w:r>
    </w:p>
    <w:p>
      <w:pPr>
        <w:pStyle w:val="Heading2"/>
      </w:pPr>
      <w:r>
        <w:rPr>
          <w:rFonts w:ascii="Arial" w:hAnsi="Arial" w:eastAsia="Arial Unicode MS" w:cs="Arial"/>
          <w:color w:val="1E6F9F"/>
          <w:sz w:val="26"/>
        </w:rPr>
        <w:t>Condition monitoring</w:t>
      </w:r>
    </w:p>
    <w:p>
      <w:pPr>
        <w:pStyle w:val="ListBullet"/>
        <w:ind w:left="540" w:hanging="271"/>
      </w:pPr>
      <w:r>
        <w:rPr>
          <w:rFonts w:ascii="Arial" w:hAnsi="Arial" w:eastAsia="Arial Unicode MS" w:cs="Arial"/>
          <w:color w:val="243442"/>
          <w:sz w:val="22"/>
        </w:rPr>
        <w:t>KS51 continuously monitors the water leakage status,</w:t>
      </w:r>
    </w:p>
    <w:p>
      <w:pPr>
        <w:pStyle w:val="ListBullet"/>
        <w:ind w:left="540" w:hanging="271"/>
      </w:pPr>
      <w:r>
        <w:rPr>
          <w:rFonts w:ascii="Arial" w:hAnsi="Arial" w:eastAsia="Arial Unicode MS" w:cs="Arial"/>
          <w:color w:val="243442"/>
          <w:sz w:val="22"/>
        </w:rPr>
        <w:t>Upload alarm information after leakage event.</w:t>
      </w:r>
    </w:p>
    <w:p>
      <w:pPr>
        <w:pStyle w:val="ListBullet"/>
        <w:ind w:left="540" w:hanging="271"/>
      </w:pPr>
      <w:r>
        <w:rPr>
          <w:rFonts w:ascii="Arial" w:hAnsi="Arial" w:eastAsia="Arial Unicode MS" w:cs="Arial"/>
          <w:color w:val="243442"/>
          <w:sz w:val="22"/>
        </w:rPr>
        <w:t>After transmit the alarm information, enter the protection mechanism and no alarm will be given within 1 minute.</w:t>
      </w:r>
    </w:p>
    <w:p>
      <w:pPr>
        <w:pStyle w:val="ListBullet"/>
        <w:ind w:left="540" w:hanging="271"/>
      </w:pPr>
      <w:r>
        <w:rPr>
          <w:rFonts w:ascii="Arial" w:hAnsi="Arial" w:eastAsia="Arial Unicode MS" w:cs="Arial"/>
          <w:color w:val="243442"/>
          <w:sz w:val="22"/>
        </w:rPr>
        <w:t>1 minute after the alarm, the detection probe level status will upload information again if there is no water leakage</w:t>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rPr>
          <w:cantSplit/>
        </w:trPr>
        <w:tc>
          <w:tcPr>
            <w:tcW w:type="dxa" w:w="9360"/>
            <w:tcMar>
              <w:top w:w="80" w:type="dxa"/>
              <w:bottom w:w="80" w:type="dxa"/>
              <w:start w:w="120" w:type="dxa"/>
              <w:end w:w="120" w:type="dxa"/>
            </w:tcMar>
            <w:vAlign w:val="center"/>
            <w:shd w:fill="FFF8E7"/>
          </w:tcPr>
          <w:p>
            <w:pPr>
              <w:spacing w:after="0"/>
            </w:pPr>
            <w:r>
              <w:rPr>
                <w:rFonts w:ascii="Arial" w:hAnsi="Arial" w:eastAsia="Arial Unicode MS" w:cs="Arial"/>
                <w:b/>
                <w:color w:val="B7791F"/>
                <w:sz w:val="19"/>
              </w:rPr>
              <w:t xml:space="preserve">NOTE  </w:t>
            </w:r>
            <w:r>
              <w:rPr>
                <w:rFonts w:ascii="Arial" w:hAnsi="Arial" w:eastAsia="Arial Unicode MS" w:cs="Arial"/>
                <w:color w:val="243442"/>
                <w:sz w:val="19"/>
              </w:rPr>
              <w:t>It is impossible to detect the leakage state of non-conductive liquids, such as organic solvents, purified water, etc.</w:t>
            </w:r>
          </w:p>
        </w:tc>
      </w:tr>
    </w:tbl>
    <w:p>
      <w:pPr>
        <w:spacing w:after="20"/>
      </w:pPr>
    </w:p>
    <w:p>
      <w:pPr>
        <w:pStyle w:val="Heading2"/>
      </w:pPr>
      <w:r>
        <w:rPr>
          <w:rFonts w:ascii="Arial" w:hAnsi="Arial" w:eastAsia="Arial Unicode MS" w:cs="Arial"/>
          <w:color w:val="1E6F9F"/>
          <w:sz w:val="26"/>
        </w:rPr>
        <w:t>Periodic heartbeat</w:t>
      </w:r>
    </w:p>
    <w:p>
      <w:r>
        <w:rPr>
          <w:rFonts w:ascii="Arial" w:hAnsi="Arial" w:eastAsia="Arial Unicode MS" w:cs="Arial"/>
          <w:color w:val="243442"/>
          <w:sz w:val="22"/>
        </w:rPr>
        <w:t>The format of the heartbeat protocol is the same as that of the heartbeat trigger protocol, and the heartbeat period can be set by issuing instructions through NS.</w:t>
      </w:r>
    </w:p>
    <w:p>
      <w:pPr>
        <w:pStyle w:val="Heading2"/>
      </w:pPr>
      <w:r>
        <w:rPr>
          <w:rFonts w:ascii="Arial" w:hAnsi="Arial" w:eastAsia="Arial Unicode MS" w:cs="Arial"/>
          <w:color w:val="1E6F9F"/>
          <w:sz w:val="26"/>
        </w:rPr>
        <w:t>Communication Test</w:t>
      </w:r>
    </w:p>
    <w:p>
      <w:r>
        <w:rPr>
          <w:rFonts w:ascii="Arial" w:hAnsi="Arial" w:eastAsia="Arial Unicode MS" w:cs="Arial"/>
          <w:color w:val="243442"/>
          <w:sz w:val="22"/>
        </w:rPr>
        <w:t>Use a magnet to stick a two-dimensional code on KS51 to trigger 2s-4S, which can trigger a packet of upstream measurement data.</w:t>
      </w:r>
    </w:p>
    <w:p>
      <w:pPr>
        <w:pStyle w:val="Heading2"/>
      </w:pPr>
      <w:r>
        <w:rPr>
          <w:rFonts w:ascii="Arial" w:hAnsi="Arial" w:eastAsia="Arial Unicode MS" w:cs="Arial"/>
          <w:color w:val="1E6F9F"/>
          <w:sz w:val="26"/>
        </w:rPr>
        <w:t>Network access</w:t>
      </w:r>
    </w:p>
    <w:p>
      <w:r>
        <w:rPr>
          <w:rFonts w:ascii="Arial" w:hAnsi="Arial" w:eastAsia="Arial Unicode MS" w:cs="Arial"/>
          <w:color w:val="243442"/>
          <w:sz w:val="22"/>
        </w:rPr>
        <w:t>Use a magnet to stick a two-dimensional code on KS51 to trigger 6s-8s, which can trigger a packet of network access data.</w:t>
      </w:r>
    </w:p>
    <w:p>
      <w:pPr>
        <w:pStyle w:val="Heading1"/>
      </w:pPr>
      <w:r>
        <w:rPr>
          <w:rFonts w:ascii="Arial" w:hAnsi="Arial" w:eastAsia="Arial Unicode MS" w:cs="Arial"/>
          <w:color w:val="1E6F9F"/>
          <w:sz w:val="32"/>
        </w:rPr>
        <w:t>Installation Instructions</w:t>
      </w:r>
    </w:p>
    <w:p>
      <w:pPr>
        <w:pStyle w:val="Heading2"/>
      </w:pPr>
      <w:r>
        <w:rPr>
          <w:rFonts w:ascii="Arial" w:hAnsi="Arial" w:eastAsia="Arial Unicode MS" w:cs="Arial"/>
          <w:color w:val="1E6F9F"/>
          <w:sz w:val="26"/>
        </w:rPr>
        <w:t>Single point type water immersion installation diagram</w:t>
      </w:r>
    </w:p>
    <w:p>
      <w:pPr>
        <w:spacing w:before="80" w:after="40"/>
        <w:jc w:val="center"/>
      </w:pPr>
      <w:r>
        <w:drawing>
          <wp:inline xmlns:a="http://schemas.openxmlformats.org/drawingml/2006/main" xmlns:pic="http://schemas.openxmlformats.org/drawingml/2006/picture">
            <wp:extent cx="3950581" cy="5303520"/>
            <wp:docPr id="4" name="Picture 4" descr="Single point type water immersion installation diagram" title="Single point type water immersion installation diagram"/>
            <wp:cNvGraphicFramePr>
              <a:graphicFrameLocks noChangeAspect="1"/>
            </wp:cNvGraphicFramePr>
            <a:graphic>
              <a:graphicData uri="http://schemas.openxmlformats.org/drawingml/2006/picture">
                <pic:pic>
                  <pic:nvPicPr>
                    <pic:cNvPr id="0" name="0d01d8c5-25bb-4d0d-97ec-a3349046bfda.png"/>
                    <pic:cNvPicPr/>
                  </pic:nvPicPr>
                  <pic:blipFill>
                    <a:blip r:embed="rId14"/>
                    <a:stretch>
                      <a:fillRect/>
                    </a:stretch>
                  </pic:blipFill>
                  <pic:spPr>
                    <a:xfrm>
                      <a:off x="0" y="0"/>
                      <a:ext cx="3950581" cy="5303520"/>
                    </a:xfrm>
                    <a:prstGeom prst="rect"/>
                  </pic:spPr>
                </pic:pic>
              </a:graphicData>
            </a:graphic>
          </wp:inline>
        </w:drawing>
      </w:r>
    </w:p>
    <w:p>
      <w:pPr>
        <w:pStyle w:val="FigureCaption"/>
      </w:pPr>
      <w:r>
        <w:t>Figure  Single point type water immersion installation diagram</w:t>
      </w:r>
    </w:p>
    <w:p>
      <w:pPr>
        <w:ind w:left="259" w:hanging="259"/>
      </w:pPr>
      <w:r>
        <w:rPr>
          <w:rFonts w:ascii="Arial" w:hAnsi="Arial" w:eastAsia="Arial Unicode MS" w:cs="Arial"/>
          <w:color w:val="243442"/>
          <w:sz w:val="22"/>
        </w:rPr>
        <w:t>① Hang the water detector sensor vertical wall on the wall, and the back of the water leakage sensor is installed with a back plate for fixing.</w:t>
      </w:r>
    </w:p>
    <w:p>
      <w:pPr>
        <w:ind w:left="259" w:hanging="259"/>
      </w:pPr>
      <w:r>
        <w:rPr>
          <w:rFonts w:ascii="Arial" w:hAnsi="Arial" w:eastAsia="Arial Unicode MS" w:cs="Arial"/>
          <w:color w:val="243442"/>
          <w:sz w:val="22"/>
        </w:rPr>
        <w:t>② Tighten the LoRa antenna</w:t>
      </w:r>
    </w:p>
    <w:p>
      <w:pPr>
        <w:ind w:left="259" w:hanging="259"/>
      </w:pPr>
      <w:r>
        <w:rPr>
          <w:rFonts w:ascii="Arial" w:hAnsi="Arial" w:eastAsia="Arial Unicode MS" w:cs="Arial"/>
          <w:color w:val="243442"/>
          <w:sz w:val="22"/>
        </w:rPr>
        <w:t>③ The root of the water immersion probe shall be closely attached to the wall surface with double-sided adhesive, and the height from the ground shall be 10cm.</w:t>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rPr>
          <w:cantSplit/>
        </w:trPr>
        <w:tc>
          <w:tcPr>
            <w:tcW w:type="dxa" w:w="9360"/>
            <w:tcMar>
              <w:top w:w="80" w:type="dxa"/>
              <w:bottom w:w="80" w:type="dxa"/>
              <w:start w:w="120" w:type="dxa"/>
              <w:end w:w="120" w:type="dxa"/>
            </w:tcMar>
            <w:vAlign w:val="center"/>
            <w:shd w:fill="FFF8E7"/>
          </w:tcPr>
          <w:p>
            <w:pPr>
              <w:spacing w:after="0"/>
            </w:pPr>
            <w:r>
              <w:rPr>
                <w:rFonts w:ascii="Arial" w:hAnsi="Arial" w:eastAsia="Arial Unicode MS" w:cs="Arial"/>
                <w:b/>
                <w:color w:val="B7791F"/>
                <w:sz w:val="19"/>
              </w:rPr>
              <w:t xml:space="preserve">NOTE  </w:t>
            </w:r>
            <w:r>
              <w:rPr>
                <w:rFonts w:ascii="Arial" w:hAnsi="Arial" w:eastAsia="Arial Unicode MS" w:cs="Arial"/>
                <w:color w:val="243442"/>
                <w:sz w:val="19"/>
              </w:rPr>
              <w:t>Please ensure that the installation is covered by the Gateway when leakage</w:t>
            </w:r>
          </w:p>
        </w:tc>
      </w:tr>
    </w:tbl>
    <w:p>
      <w:pPr>
        <w:spacing w:after="20"/>
      </w:pPr>
    </w:p>
    <w:p>
      <w:pPr>
        <w:pStyle w:val="Heading2"/>
      </w:pPr>
      <w:r>
        <w:rPr>
          <w:rFonts w:ascii="Arial" w:hAnsi="Arial" w:eastAsia="Arial Unicode MS" w:cs="Arial"/>
          <w:color w:val="1E6F9F"/>
          <w:sz w:val="26"/>
        </w:rPr>
        <w:t>Rope type water immersion installation diagram</w:t>
      </w:r>
    </w:p>
    <w:p>
      <w:pPr>
        <w:spacing w:before="80" w:after="40"/>
        <w:jc w:val="center"/>
      </w:pPr>
      <w:r>
        <w:drawing>
          <wp:inline xmlns:a="http://schemas.openxmlformats.org/drawingml/2006/main" xmlns:pic="http://schemas.openxmlformats.org/drawingml/2006/picture">
            <wp:extent cx="4722607" cy="5303520"/>
            <wp:docPr id="5" name="Picture 5" descr="Rope type water immersion installation diagram" title="Rope type water immersion installation diagram"/>
            <wp:cNvGraphicFramePr>
              <a:graphicFrameLocks noChangeAspect="1"/>
            </wp:cNvGraphicFramePr>
            <a:graphic>
              <a:graphicData uri="http://schemas.openxmlformats.org/drawingml/2006/picture">
                <pic:pic>
                  <pic:nvPicPr>
                    <pic:cNvPr id="0" name="abe8ffbf-de4a-40e2-bdfe-76e5b50d7976.png"/>
                    <pic:cNvPicPr/>
                  </pic:nvPicPr>
                  <pic:blipFill>
                    <a:blip r:embed="rId15"/>
                    <a:stretch>
                      <a:fillRect/>
                    </a:stretch>
                  </pic:blipFill>
                  <pic:spPr>
                    <a:xfrm>
                      <a:off x="0" y="0"/>
                      <a:ext cx="4722607" cy="5303520"/>
                    </a:xfrm>
                    <a:prstGeom prst="rect"/>
                  </pic:spPr>
                </pic:pic>
              </a:graphicData>
            </a:graphic>
          </wp:inline>
        </w:drawing>
      </w:r>
    </w:p>
    <w:p>
      <w:pPr>
        <w:pStyle w:val="FigureCaption"/>
      </w:pPr>
      <w:r>
        <w:t>Figure  Rope type water immersion installation diagram</w:t>
      </w:r>
    </w:p>
    <w:p>
      <w:pPr>
        <w:ind w:left="259" w:hanging="259"/>
      </w:pPr>
      <w:r>
        <w:rPr>
          <w:rFonts w:ascii="Arial" w:hAnsi="Arial" w:eastAsia="Arial Unicode MS" w:cs="Arial"/>
          <w:color w:val="243442"/>
          <w:sz w:val="22"/>
        </w:rPr>
        <w:t>① Hang the water leakage vertical wall on the wall, and the back of the water leakage sensor is equipped with a back plate for fixing.</w:t>
      </w:r>
    </w:p>
    <w:p>
      <w:pPr>
        <w:ind w:left="259" w:hanging="259"/>
      </w:pPr>
      <w:r>
        <w:rPr>
          <w:rFonts w:ascii="Arial" w:hAnsi="Arial" w:eastAsia="Arial Unicode MS" w:cs="Arial"/>
          <w:color w:val="243442"/>
          <w:sz w:val="22"/>
        </w:rPr>
        <w:t>② Tighten the LoRa antenna</w:t>
      </w:r>
    </w:p>
    <w:p>
      <w:pPr>
        <w:ind w:left="259" w:hanging="259"/>
      </w:pPr>
      <w:r>
        <w:rPr>
          <w:rFonts w:ascii="Arial" w:hAnsi="Arial" w:eastAsia="Arial Unicode MS" w:cs="Arial"/>
          <w:color w:val="243442"/>
          <w:sz w:val="22"/>
        </w:rPr>
        <w:t>③ Water leakage detection extension rope</w:t>
      </w:r>
    </w:p>
    <w:p>
      <w:r>
        <w:rPr>
          <w:rFonts w:ascii="Arial" w:hAnsi="Arial" w:eastAsia="Arial Unicode MS" w:cs="Arial"/>
          <w:color w:val="243442"/>
          <w:sz w:val="22"/>
        </w:rPr>
        <w:t>preparation tools: Impact drill, drill bit, Phillips screwdriver, Buckle</w:t>
      </w:r>
    </w:p>
    <w:p>
      <w:r>
        <w:rPr>
          <w:rFonts w:ascii="Arial" w:hAnsi="Arial" w:eastAsia="Arial Unicode MS" w:cs="Arial"/>
          <w:color w:val="243442"/>
          <w:sz w:val="22"/>
        </w:rPr>
        <w:t>use an electric drill to drill holes in the installation position in advance. The left and right sides of the water leakage detector will be equipped with installation holes, which will be fixed by screws. Then connect the extension cord, and use the buckle to fix the extension cord at the position where the water leakage needs to be monitored.</w:t>
      </w:r>
    </w:p>
    <w:p>
      <w:pPr>
        <w:pStyle w:val="Heading1"/>
      </w:pPr>
      <w:r>
        <w:rPr>
          <w:rFonts w:ascii="Arial" w:hAnsi="Arial" w:eastAsia="Arial Unicode MS" w:cs="Arial"/>
          <w:color w:val="1E6F9F"/>
          <w:sz w:val="32"/>
        </w:rPr>
        <w:t>Communication Protocol</w:t>
      </w:r>
    </w:p>
    <w:p>
      <w:pPr>
        <w:pStyle w:val="Heading1"/>
      </w:pPr>
      <w:r>
        <w:rPr>
          <w:rFonts w:ascii="Arial" w:hAnsi="Arial" w:eastAsia="Arial Unicode MS" w:cs="Arial"/>
          <w:color w:val="1E6F9F"/>
          <w:sz w:val="32"/>
        </w:rPr>
        <w:t>According to the standard</w:t>
      </w:r>
    </w:p>
    <w:p>
      <w:r>
        <w:rPr>
          <w:rFonts w:ascii="Arial" w:hAnsi="Arial" w:eastAsia="Arial Unicode MS" w:cs="Arial"/>
          <w:color w:val="243442"/>
          <w:sz w:val="22"/>
        </w:rPr>
        <w:t>\PTL-D01 ManThink Technology IoT Terminal Application Layer General Protocol V1.5</w:t>
      </w:r>
    </w:p>
    <w:p>
      <w:pPr>
        <w:pStyle w:val="Heading1"/>
      </w:pPr>
      <w:r>
        <w:rPr>
          <w:rFonts w:ascii="Arial" w:hAnsi="Arial" w:eastAsia="Arial Unicode MS" w:cs="Arial"/>
          <w:color w:val="1E6F9F"/>
          <w:sz w:val="32"/>
        </w:rPr>
        <w:t>Data Items and Identifiers</w:t>
      </w:r>
    </w:p>
    <w:p>
      <w:pPr>
        <w:pStyle w:val="ListBullet"/>
        <w:ind w:left="540" w:hanging="271"/>
      </w:pPr>
      <w:r>
        <w:rPr>
          <w:rFonts w:ascii="Arial" w:hAnsi="Arial" w:eastAsia="Arial Unicode MS" w:cs="Arial"/>
          <w:color w:val="243442"/>
          <w:sz w:val="22"/>
        </w:rPr>
        <w:t>LoRaWAN port number = 11</w:t>
      </w:r>
    </w:p>
    <w:p>
      <w:r>
        <w:rPr>
          <w:rFonts w:ascii="Arial" w:hAnsi="Arial" w:eastAsia="Arial Unicode MS" w:cs="Arial"/>
          <w:color w:val="243442"/>
          <w:sz w:val="22"/>
        </w:rPr>
        <w:t>KS51 supports only one data format and sends data periodically according to a set period. When a flooding event occurs, it triggers one frame of uplink data.</w:t>
      </w:r>
    </w:p>
    <w:p>
      <w:r>
        <w:rPr>
          <w:rFonts w:ascii="Arial" w:hAnsi="Arial" w:eastAsia="Arial Unicode MS" w:cs="Arial"/>
          <w:color w:val="243442"/>
          <w:sz w:val="22"/>
        </w:rPr>
        <w:t>Example (hex):82 21 12 00 F1 50 06</w:t>
      </w:r>
    </w:p>
    <w:tbl>
      <w:tblPr>
        <w:tblStyle w:val="TableGrid"/>
        <w:tblW w:type="dxa" w:w="9360"/>
        <w:jc w:val="left"/>
        <w:tblLayout w:type="fixed"/>
        <w:tblLook w:firstColumn="1" w:firstRow="1" w:lastColumn="0" w:lastRow="0" w:noHBand="0" w:noVBand="1" w:val="04A0"/>
        <w:tblInd w:w="120" w:type="dxa"/>
      </w:tblPr>
      <w:tblGrid>
        <w:gridCol w:w="720"/>
        <w:gridCol w:w="1500"/>
        <w:gridCol w:w="1170"/>
        <w:gridCol w:w="1050"/>
        <w:gridCol w:w="1050"/>
        <w:gridCol w:w="3870"/>
      </w:tblGrid>
      <w:tr>
        <w:trPr>
          <w:cantSplit/>
          <w:tblHeader w:val="true"/>
        </w:trPr>
        <w:tc>
          <w:tcPr>
            <w:tcW w:type="dxa" w:w="72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Number</w:t>
            </w:r>
          </w:p>
        </w:tc>
        <w:tc>
          <w:tcPr>
            <w:tcW w:type="dxa" w:w="15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Data Item</w:t>
            </w:r>
          </w:p>
        </w:tc>
        <w:tc>
          <w:tcPr>
            <w:tcW w:type="dxa" w:w="117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Example</w:t>
            </w:r>
          </w:p>
        </w:tc>
        <w:tc>
          <w:tcPr>
            <w:tcW w:type="dxa" w:w="10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Start Address</w:t>
            </w:r>
          </w:p>
        </w:tc>
        <w:tc>
          <w:tcPr>
            <w:tcW w:type="dxa" w:w="10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Length</w:t>
            </w:r>
          </w:p>
        </w:tc>
        <w:tc>
          <w:tcPr>
            <w:tcW w:type="dxa" w:w="387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Description</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Version number</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0x82</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 xml:space="preserve">Fixed at </w:t>
            </w:r>
            <w:r>
              <w:rPr>
                <w:rFonts w:ascii="Menlo" w:hAnsi="Menlo" w:eastAsia="Arial Unicode MS" w:cs="Menlo"/>
                <w:color w:val="18324A"/>
                <w:sz w:val="17"/>
              </w:rPr>
              <w:t>0x82</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2</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Control word</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0x21</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 xml:space="preserve">Fixed at </w:t>
            </w:r>
            <w:r>
              <w:rPr>
                <w:rFonts w:ascii="Menlo" w:hAnsi="Menlo" w:eastAsia="Arial Unicode MS" w:cs="Menlo"/>
                <w:color w:val="18324A"/>
                <w:sz w:val="17"/>
              </w:rPr>
              <w:t>0x21</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3</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Identifier</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0x12</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2</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 xml:space="preserve">Fixed at </w:t>
            </w:r>
            <w:r>
              <w:rPr>
                <w:rFonts w:ascii="Menlo" w:hAnsi="Menlo" w:eastAsia="Arial Unicode MS" w:cs="Menlo"/>
                <w:color w:val="18324A"/>
                <w:sz w:val="17"/>
              </w:rPr>
              <w:t>0x12</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Status</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0x00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3</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shd w:fill="F3F6F8"/>
          </w:tcPr>
          <w:p>
            <w:pPr>
              <w:spacing w:before="0" w:after="0" w:line="269" w:lineRule="auto"/>
            </w:pPr>
            <w:r/>
            <w:r>
              <w:rPr>
                <w:rFonts w:ascii="Menlo" w:hAnsi="Menlo" w:eastAsia="Arial Unicode MS" w:cs="Menlo"/>
                <w:color w:val="18324A"/>
                <w:sz w:val="17"/>
              </w:rPr>
              <w:t>0x00</w:t>
            </w:r>
            <w:r>
              <w:rPr>
                <w:rFonts w:ascii="Arial" w:hAnsi="Arial" w:eastAsia="Arial Unicode MS" w:cs="Arial"/>
                <w:color w:val="243442"/>
                <w:sz w:val="16"/>
              </w:rPr>
              <w:t xml:space="preserve">: dry; </w:t>
            </w:r>
            <w:r>
              <w:rPr>
                <w:rFonts w:ascii="Menlo" w:hAnsi="Menlo" w:eastAsia="Arial Unicode MS" w:cs="Menlo"/>
                <w:color w:val="18324A"/>
                <w:sz w:val="17"/>
              </w:rPr>
              <w:t>0x01</w:t>
            </w:r>
            <w:r>
              <w:rPr>
                <w:rFonts w:ascii="Arial" w:hAnsi="Arial" w:eastAsia="Arial Unicode MS" w:cs="Arial"/>
                <w:color w:val="243442"/>
                <w:sz w:val="16"/>
              </w:rPr>
              <w:t>: water detected</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5</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Battery voltage</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0xF1</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 xml:space="preserve">Actual value = </w:t>
            </w:r>
            <w:r>
              <w:rPr>
                <w:rFonts w:ascii="Menlo" w:hAnsi="Menlo" w:eastAsia="Arial Unicode MS" w:cs="Menlo"/>
                <w:color w:val="18324A"/>
                <w:sz w:val="17"/>
              </w:rPr>
              <w:t>sample × 1.6 / 254 + 2</w:t>
            </w:r>
            <w:r>
              <w:rPr>
                <w:rFonts w:ascii="Arial" w:hAnsi="Arial" w:eastAsia="Arial Unicode MS" w:cs="Arial"/>
                <w:color w:val="243442"/>
                <w:sz w:val="16"/>
              </w:rPr>
              <w:t xml:space="preserve"> V</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6</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RSSI</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0x50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5</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 xml:space="preserve">Actual value = </w:t>
            </w:r>
            <w:r>
              <w:rPr>
                <w:rFonts w:ascii="Menlo" w:hAnsi="Menlo" w:eastAsia="Arial Unicode MS" w:cs="Menlo"/>
                <w:color w:val="18324A"/>
                <w:sz w:val="17"/>
              </w:rPr>
              <w:t>reported value - 160</w:t>
            </w:r>
            <w:r>
              <w:rPr>
                <w:rFonts w:ascii="Arial" w:hAnsi="Arial" w:eastAsia="Arial Unicode MS" w:cs="Arial"/>
                <w:color w:val="243442"/>
                <w:sz w:val="16"/>
              </w:rPr>
              <w:t xml:space="preserve"> dBm</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7</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SNR</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0x06</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6</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Menlo" w:hAnsi="Menlo" w:eastAsia="Arial Unicode MS" w:cs="Menlo"/>
                <w:color w:val="18324A"/>
                <w:sz w:val="17"/>
              </w:rPr>
              <w:t>uint8</w:t>
            </w:r>
            <w:r>
              <w:rPr>
                <w:rFonts w:ascii="Arial" w:hAnsi="Arial" w:eastAsia="Arial Unicode MS" w:cs="Arial"/>
                <w:color w:val="243442"/>
                <w:sz w:val="16"/>
              </w:rPr>
              <w:t>, unit: dB</w:t>
            </w:r>
          </w:p>
        </w:tc>
      </w:tr>
    </w:tbl>
    <w:p>
      <w:pPr>
        <w:spacing w:after="40"/>
      </w:pPr>
    </w:p>
    <w:p>
      <w:pPr>
        <w:pStyle w:val="Heading1"/>
      </w:pPr>
      <w:r>
        <w:rPr>
          <w:rFonts w:ascii="Arial" w:hAnsi="Arial" w:eastAsia="Arial Unicode MS" w:cs="Arial"/>
          <w:color w:val="1E6F9F"/>
          <w:sz w:val="32"/>
        </w:rPr>
        <w:t>ThinkLink reference model</w:t>
      </w:r>
    </w:p>
    <w:p>
      <w:r>
        <w:rPr>
          <w:rFonts w:ascii="Arial" w:hAnsi="Arial" w:eastAsia="Arial Unicode MS" w:cs="Arial"/>
          <w:color w:val="243442"/>
          <w:sz w:val="22"/>
        </w:rPr>
        <w:t>Log in to &lt;https://thinklink.manthink.cn&gt;\n○ Search for KS51 in the model menu\n○ add using template KS51</w:t>
      </w:r>
    </w:p>
    <w:p>
      <w:pPr>
        <w:pStyle w:val="Heading1"/>
      </w:pPr>
      <w:r>
        <w:rPr>
          <w:rFonts w:ascii="Arial" w:hAnsi="Arial" w:eastAsia="Arial Unicode MS" w:cs="Arial"/>
          <w:color w:val="1E6F9F"/>
          <w:sz w:val="32"/>
        </w:rPr>
        <w:t>Parameter modification</w:t>
      </w:r>
    </w:p>
    <w:p>
      <w:r>
        <w:rPr>
          <w:rFonts w:ascii="Arial" w:hAnsi="Arial" w:eastAsia="Arial Unicode MS" w:cs="Arial"/>
          <w:color w:val="243442"/>
          <w:sz w:val="22"/>
        </w:rPr>
        <w:t>\PTL-D01 ManThink Technology IoT Terminal Application Layer General Protocol V1.5</w:t>
      </w:r>
    </w:p>
    <w:p>
      <w:pPr>
        <w:pStyle w:val="Heading2"/>
      </w:pPr>
      <w:r>
        <w:rPr>
          <w:rFonts w:ascii="Arial" w:hAnsi="Arial" w:eastAsia="Arial Unicode MS" w:cs="Arial"/>
          <w:color w:val="1E6F9F"/>
          <w:sz w:val="26"/>
        </w:rPr>
        <w:t>Configuration parameter address table</w:t>
      </w:r>
    </w:p>
    <w:tbl>
      <w:tblPr>
        <w:tblStyle w:val="TableGrid"/>
        <w:tblW w:type="dxa" w:w="9360"/>
        <w:jc w:val="left"/>
        <w:tblLayout w:type="fixed"/>
        <w:tblLook w:firstColumn="1" w:firstRow="1" w:lastColumn="0" w:lastRow="0" w:noHBand="0" w:noVBand="1" w:val="04A0"/>
        <w:tblInd w:w="120" w:type="dxa"/>
      </w:tblPr>
      <w:tblGrid>
        <w:gridCol w:w="720"/>
        <w:gridCol w:w="1500"/>
        <w:gridCol w:w="1170"/>
        <w:gridCol w:w="1050"/>
        <w:gridCol w:w="1050"/>
        <w:gridCol w:w="3870"/>
      </w:tblGrid>
      <w:tr>
        <w:trPr>
          <w:cantSplit/>
          <w:tblHeader w:val="true"/>
        </w:trPr>
        <w:tc>
          <w:tcPr>
            <w:tcW w:type="dxa" w:w="72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Number</w:t>
            </w:r>
          </w:p>
        </w:tc>
        <w:tc>
          <w:tcPr>
            <w:tcW w:type="dxa" w:w="15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data Item</w:t>
            </w:r>
          </w:p>
        </w:tc>
        <w:tc>
          <w:tcPr>
            <w:tcW w:type="dxa" w:w="117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default Value</w:t>
            </w:r>
          </w:p>
        </w:tc>
        <w:tc>
          <w:tcPr>
            <w:tcW w:type="dxa" w:w="10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start Address</w:t>
            </w:r>
          </w:p>
        </w:tc>
        <w:tc>
          <w:tcPr>
            <w:tcW w:type="dxa" w:w="10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length</w:t>
            </w:r>
          </w:p>
        </w:tc>
        <w:tc>
          <w:tcPr>
            <w:tcW w:type="dxa" w:w="387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description</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upload period</w:t>
            </w:r>
          </w:p>
        </w:tc>
        <w:tc>
          <w:tcPr>
            <w:tcW w:type="dxa" w:w="117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900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upload period, in seconds</w:t>
            </w:r>
          </w:p>
        </w:tc>
      </w:tr>
    </w:tbl>
    <w:p>
      <w:pPr>
        <w:spacing w:after="40"/>
      </w:pPr>
    </w:p>
    <w:p>
      <w:pPr>
        <w:pStyle w:val="Heading1"/>
      </w:pPr>
      <w:r>
        <w:rPr>
          <w:rFonts w:ascii="Arial" w:hAnsi="Arial" w:eastAsia="Arial Unicode MS" w:cs="Arial"/>
          <w:color w:val="1E6F9F"/>
          <w:sz w:val="32"/>
        </w:rPr>
        <w:t>Contact Us</w:t>
      </w:r>
    </w:p>
    <w:p>
      <w:r>
        <w:rPr>
          <w:rFonts w:ascii="Arial" w:hAnsi="Arial" w:eastAsia="Arial Unicode MS" w:cs="Arial"/>
          <w:color w:val="243442"/>
          <w:sz w:val="22"/>
        </w:rPr>
        <w:t xml:space="preserve">Website: </w:t>
      </w:r>
      <w:hyperlink r:id="rId16">
        <w:r>
          <w:rPr>
            <w:rFonts w:ascii="Arial" w:hAnsi="Arial" w:eastAsia="Arial Unicode MS"/>
            <w:color w:val="1E6F9F"/>
            <w:u w:val="single"/>
          </w:rPr>
          <w:t>www.manthink.cn </w:t>
        </w:r>
      </w:hyperlink>
    </w:p>
    <w:p>
      <w:r>
        <w:rPr>
          <w:rFonts w:ascii="Arial" w:hAnsi="Arial" w:eastAsia="Arial Unicode MS" w:cs="Arial"/>
          <w:color w:val="243442"/>
          <w:sz w:val="22"/>
        </w:rPr>
        <w:t>Email: info@manthink.cn</w:t>
      </w:r>
    </w:p>
    <w:p>
      <w:r>
        <w:rPr>
          <w:rFonts w:ascii="Arial" w:hAnsi="Arial" w:eastAsia="Arial Unicode MS" w:cs="Arial"/>
          <w:color w:val="243442"/>
          <w:sz w:val="22"/>
        </w:rPr>
        <w:t>Tel: +86 15810684257</w:t>
      </w:r>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Arial" w:hAnsi="Arial" w:eastAsia="Arial Unicode MS" w:cs="Arial"/>
        <w:color w:val="607181"/>
        <w:sz w:val="17"/>
      </w:rPr>
      <w:t xml:space="preserve"> </w:t>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left"/>
      </w:tabs>
      <w:spacing w:after="0"/>
    </w:pPr>
    <w:r>
      <w:rPr>
        <w:rFonts w:ascii="Arial" w:hAnsi="Arial" w:eastAsia="Arial Unicode MS" w:cs="Arial"/>
        <w:b/>
        <w:color w:val="607181"/>
        <w:sz w:val="17"/>
      </w:rPr>
      <w:t>MANTHINK  /  KS51</w:t>
    </w:r>
    <w:r>
      <w:tab/>
    </w:r>
    <w:r>
      <w:rPr>
        <w:rFonts w:ascii="Arial" w:hAnsi="Arial" w:eastAsia="Arial Unicode MS" w:cs="Arial"/>
        <w:color w:val="607181"/>
        <w:sz w:val="16"/>
      </w:rPr>
      <w:t>DEVICE MANUAL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Arial" w:hAnsi="Arial" w:eastAsia="Arial Unicode MS"/>
      <w:color w:val="24344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rial" w:hAnsi="Arial" w:eastAsia="Arial Unicode MS"/>
      <w:b/>
      <w:bCs/>
      <w:color w:val="1E6F9F"/>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rial" w:hAnsi="Arial" w:eastAsia="Arial Unicode MS"/>
      <w:b/>
      <w:bCs/>
      <w:color w:val="1E6F9F"/>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eastAsia="Arial Unicode MS"/>
      <w:b/>
      <w:bCs/>
      <w:color w:val="18324A"/>
      <w:sz w:val="24"/>
    </w:rPr>
  </w:style>
  <w:style w:type="paragraph" w:styleId="Heading4">
    <w:name w:val="heading 4"/>
    <w:basedOn w:val="Normal"/>
    <w:next w:val="Normal"/>
    <w:link w:val="Heading4Char"/>
    <w:uiPriority w:val="9"/>
    <w:semiHidden/>
    <w:unhideWhenUsed/>
    <w:qFormat/>
    <w:rsid w:val="00FC693F"/>
    <w:pPr>
      <w:keepNext/>
      <w:keepLines/>
      <w:spacing w:before="160" w:after="80"/>
      <w:outlineLvl w:val="3"/>
    </w:pPr>
    <w:rPr>
      <w:rFonts w:asciiTheme="majorHAnsi" w:eastAsiaTheme="majorEastAsia" w:hAnsiTheme="majorHAnsi" w:cstheme="majorBidi" w:ascii="Arial" w:hAnsi="Arial" w:eastAsia="Arial Unicode MS"/>
      <w:b/>
      <w:bCs/>
      <w:i/>
      <w:iCs/>
      <w:color w:val="18324A"/>
      <w:sz w:val="22"/>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Arial" w:hAnsi="Arial" w:eastAsia="Arial Unicode MS"/>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Arial" w:hAnsi="Arial" w:eastAsia="Arial Unicode MS"/>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 Block"/>
    <w:pPr>
      <w:spacing w:before="100" w:after="140" w:line="276" w:lineRule="auto"/>
      <w:ind w:left="259" w:right="259"/>
      <w:shd w:fill="F0F4F6"/>
    </w:pPr>
    <w:rPr>
      <w:rFonts w:ascii="Menlo" w:hAnsi="Menlo" w:eastAsia="Arial Unicode MS"/>
      <w:color w:val="18324A"/>
      <w:sz w:val="18"/>
    </w:rPr>
  </w:style>
  <w:style w:type="paragraph" w:customStyle="1" w:styleId="FigureCaption">
    <w:name w:val="Figure Caption"/>
    <w:pPr>
      <w:spacing w:before="60" w:after="160"/>
      <w:jc w:val="center"/>
    </w:pPr>
    <w:rPr>
      <w:rFonts w:ascii="Arial" w:hAnsi="Arial" w:eastAsia="Arial Unicode MS"/>
      <w:color w:val="607181"/>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hyperlink" Target="https://www.manthink.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KS51 Water Leakage Sensor V1.0</dc:title>
  <dc:subject>ManThink device manual</dc:subject>
  <dc:creator/>
  <cp:keywords>ManThink, ThinkLink, LoRaWAN</cp:keywords>
  <dc:description>generated by python-docx</dc:description>
  <cp:lastModifiedBy/>
  <cp:revision>1</cp:revision>
  <dcterms:created xsi:type="dcterms:W3CDTF">2013-12-23T23:15:00Z</dcterms:created>
  <dcterms:modified xsi:type="dcterms:W3CDTF">2013-12-23T23:15:00Z</dcterms:modified>
  <cp:category/>
</cp:coreProperties>
</file>