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KS61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传感器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5486400" cy="3088386"/>
            <wp:docPr id="1" name="Picture 1" descr="KS61 LoRaWAN开关型86盒室内空气质量监测器" title="KS61 LoRaWAN开关型86盒室内空气质量监测器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4253f80c3be7709a0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8386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当前版本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产品简介</w:t>
      </w:r>
    </w:p>
    <w:p>
      <w:r>
        <w:rPr>
          <w:rFonts w:ascii="Arial" w:hAnsi="Arial" w:eastAsia="Arial Unicode MS" w:cs="Arial"/>
          <w:color w:val="243442"/>
          <w:sz w:val="22"/>
        </w:rPr>
        <w:t>KS61是一款集多功能与精巧设计于一体的86型墙面开关式室内环境监测传感器。它可实时监测PM2.5（零火线版本支持）、温度、湿度、光照强度、CO₂、TVOC以及人体移动（PIR）等多种环境参数，并配备电子墨水屏，支持本地直观查看空气质量数据，信息清晰易读。</w:t>
      </w:r>
    </w:p>
    <w:p>
      <w:r>
        <w:rPr>
          <w:rFonts w:ascii="Arial" w:hAnsi="Arial" w:eastAsia="Arial Unicode MS" w:cs="Arial"/>
          <w:color w:val="243442"/>
          <w:sz w:val="22"/>
        </w:rPr>
        <w:t>KS61采用标准86盒尺寸设计，内置三个物理按键，安装便捷，可直接替换传统墙壁开关。在启用远程控制功能后，用户可通过网络实现对开关通断的智能操控，兼顾本地操作习惯与远程智能化管理。</w:t>
      </w:r>
    </w:p>
    <w:p>
      <w:r>
        <w:rPr>
          <w:rFonts w:ascii="Arial" w:hAnsi="Arial" w:eastAsia="Arial Unicode MS" w:cs="Arial"/>
          <w:color w:val="243442"/>
          <w:sz w:val="22"/>
        </w:rPr>
        <w:t>该产品基于LoRa®无线技术，支持标准LoRaWAN®协议，具备远距离通信和超低功耗的优势，适用于大范围、长续航的物联网部署场景。KS61兼容门思科技及第三方LoRaWAN®网关，并可无缝接入ThinkLink、ChirpStack、The Things Network（TTN）等主流物联网平台，轻松实现环境数据的采集、远程监控、智能分析与节能联动控制，广泛适用于智慧办公、智能家居及楼宇管理系统。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86盒安装，可对原有的86盒开关直接替换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支持3个硬开关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支持PM2.5、温度、湿度、光照、CO₂、TVOC 、 PIR 七种环境参数监测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墨水屏显示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支持单火/零火 供电（两个版本）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支持RS-485接口(零火版支持）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支持ThinkLink/ChirpStack/TTN 平台对接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支持US902,AU915,AS923,EU868,EU433,CN470 LoRaWAN标准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规格参数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按键开关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3 个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显示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墨水屏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测量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零火版：采集周期 10 秒，精度 ±1 ℃，范围 -20–60 ℃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单火版：采集周期 10 秒，精度 ±3 ℃，范围 -20–60 ℃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采集周期 10秒，精度 ±3%RH，范围 0 - 100%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PIR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触发式，水平 80°，垂直55°，有效距离5米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光照度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采集周期 10 秒，测量范围 0.01–83 klux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分级：L0 &lt; 100 lux；L1 &lt; 200 lux；L2 &lt; 500 lux；L3 &gt; 500 lux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CO2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采集周期 10秒，精度±40.0 ppm ±5.0 %m.v. 范围 400 - 5000ppm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TVOC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采集周期 10 秒，精度 ±15 VOC Index points 或 ±15% m.v.，范围 1–500 VOC Index points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PM2.5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零火版：采集周期 180 秒，精度 ±10%，范围 0–1000 μg/m³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单火版：采集周期 3 小时，精度 ±10%，范围 0–1000 μg/m³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PM1.0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默认不显示，通过 LoRaWAN 上传；精度 ±10%，范围 0–1000 μg/m³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零火版采集周期 180 秒；单火版采集周期 3 小时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PM10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默认不显示，通过 LoRaWAN 上传；精度 ±25%，范围 0–1000 μg/m³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零火版采集周期 180 秒；单火版采集周期 3 小时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无线参数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地区标准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CN470/EU433/EU868/AS923/AU915/Us902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最大22dBm（零火版） 最大 14dBm（单火版）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-142dBm（SF=12，BW=125kHz）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入网/工作模式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OTAA/ABP Class A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协议/配置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测试/触发方式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长按1号开关 2秒触发心跳数据 6秒触发入网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通过NS下发指令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值</w:t>
            </w:r>
          </w:p>
        </w:tc>
      </w:tr>
      <w:tr>
        <w:trPr>
          <w:cantSplit/>
        </w:trPr>
        <w:tc>
          <w:tcPr>
            <w:tcW w:type="dxa" w:w="9360"/>
            <w:gridSpan w:val="2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物理特性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单火线/零火线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8mA (25℃室温条件下)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110mA (22dBm 发射功率)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平均功耗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&lt;100mW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 ~85°C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≤95%（无凝结）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IP30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材质&amp;颜色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ABS+PC，白色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86mm*86mm*17mm (17mm为墙外的厚度)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86盒嵌入式安装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KS618-A2-AS923-N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KS618：产品系列与射频频段。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KS61</w:t>
      </w:r>
      <w:r>
        <w:rPr>
          <w:rFonts w:ascii="Arial" w:hAnsi="Arial" w:eastAsia="Arial Unicode MS" w:cs="Arial"/>
          <w:color w:val="243442"/>
          <w:sz w:val="22"/>
        </w:rPr>
        <w:t xml:space="preserve"> 表示第 2 代室内空气质量监测器。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-A2：传感器组合与供电配置。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表示七合一版本，支持温度、湿度、光照度、PIR、TVOC、CO₂ 和 PM2.5，并要求零火线供电。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其他传感器选项：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 xml:space="preserve"> 表示温度、湿度、光照度、PIR、TVOC 和 CO₂ 六种传感器；</w:t>
      </w:r>
      <w:r>
        <w:rPr>
          <w:rFonts w:ascii="Menlo" w:hAnsi="Menlo" w:eastAsia="Arial Unicode MS" w:cs="Menlo"/>
          <w:color w:val="18324A"/>
          <w:sz w:val="21"/>
        </w:rPr>
        <w:t>C</w:t>
      </w:r>
      <w:r>
        <w:rPr>
          <w:rFonts w:ascii="Arial" w:hAnsi="Arial" w:eastAsia="Arial Unicode MS" w:cs="Arial"/>
          <w:color w:val="243442"/>
          <w:sz w:val="22"/>
        </w:rPr>
        <w:t xml:space="preserve"> 表示温度、湿度、光照度和 PIR 四种传感器。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C</w:t>
      </w:r>
      <w:r>
        <w:rPr>
          <w:rFonts w:ascii="Arial" w:hAnsi="Arial" w:eastAsia="Arial Unicode MS" w:cs="Arial"/>
          <w:color w:val="243442"/>
          <w:sz w:val="22"/>
        </w:rPr>
        <w:t xml:space="preserve"> 均支持单火线或零火线供电。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表示零火线供电。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其他供电选项：</w:t>
      </w: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表示单火线供电。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KS618-A2-AS923-N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2 代室内空气质量监测器，采用 800 MHz 及以上射频版本，支持温度、湿度、光照度、PIR、TVOC、CO₂ 和 PM2.5 七种传感器，采用零火线供电，符合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网络拓扑</w:t>
      </w:r>
    </w:p>
    <w:p>
      <w:r>
        <w:rPr>
          <w:rFonts w:ascii="Arial" w:hAnsi="Arial" w:eastAsia="Arial Unicode MS" w:cs="Arial"/>
          <w:color w:val="243442"/>
          <w:sz w:val="22"/>
        </w:rPr>
        <w:t>KS61 是一款符合标准 LoRaWAN 协议的终端设备，其正常运行依赖于完整的 LoRaWAN 网络支持。该网络需包含 LoRaWAN 网关及网络服务器（NS）。KS61 可接入门思科技自研网关或第三方兼容网关，并支持连接主流 LoRaWAN 网络服务器，如 ThinkLink、ChirpStack 和 The Things Network（TTN）等。</w:t>
      </w:r>
    </w:p>
    <w:p>
      <w:r>
        <w:rPr>
          <w:rFonts w:ascii="Arial" w:hAnsi="Arial" w:eastAsia="Arial Unicode MS" w:cs="Arial"/>
          <w:color w:val="243442"/>
          <w:sz w:val="22"/>
        </w:rPr>
        <w:t>通过门思科技 ThinkLink 物联网平台，用户可便捷配置物模型，实现业务功能定义、卡片视图展示及其他个性化业务逻辑，快速构建应用场景。</w:t>
      </w:r>
    </w:p>
    <w:p>
      <w:r>
        <w:rPr>
          <w:rFonts w:ascii="Arial" w:hAnsi="Arial" w:eastAsia="Arial Unicode MS" w:cs="Arial"/>
          <w:color w:val="243442"/>
          <w:sz w:val="22"/>
        </w:rPr>
        <w:t>典型的 LoRaWAN 网络拓扑结构如下：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2" name="Picture 2" descr="网络拓扑" title="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a7f09c114cc655a8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网络拓扑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工作模式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采集和上传</w:t>
      </w:r>
    </w:p>
    <w:p>
      <w:r>
        <w:rPr>
          <w:rFonts w:ascii="Arial" w:hAnsi="Arial" w:eastAsia="Arial Unicode MS" w:cs="Arial"/>
          <w:color w:val="243442"/>
          <w:sz w:val="22"/>
        </w:rPr>
        <w:t>KS61 按照预设的固定周期进行数据采集，并支持三种上传模式：周期性上传、事件触发上传和变化值上传（COV）。</w:t>
      </w:r>
    </w:p>
    <w:p>
      <w:r>
        <w:rPr>
          <w:rFonts w:ascii="Arial" w:hAnsi="Arial" w:eastAsia="Arial Unicode MS" w:cs="Arial"/>
          <w:color w:val="243442"/>
          <w:sz w:val="22"/>
        </w:rPr>
        <w:t>在周期性上传模式下，KS61 将按设定的时间间隔，定时上报所有传感器的完整数据。对于支持 COV（Change of Value）的变量，当其数值变化超过预设阈值时，系统将自动触发一次数据上传。此外，PIR（人体感应）和开关状态等事件型变量，则在状态发生改变时立即触发单次数据上报。</w:t>
      </w:r>
    </w:p>
    <w:p>
      <w:r>
        <w:rPr>
          <w:rFonts w:ascii="Arial" w:hAnsi="Arial" w:eastAsia="Arial Unicode MS" w:cs="Arial"/>
          <w:color w:val="243442"/>
          <w:sz w:val="22"/>
        </w:rPr>
        <w:t>所有上行数据均采用统一的数据包格式，确保传输的一致性与解析效率。整体采集与上传机制结合了定时、阈值和事件驱动三种策略，兼顾数据完整性与响应实时性。</w:t>
      </w:r>
    </w:p>
    <w:p>
      <w:r>
        <w:rPr>
          <w:rFonts w:ascii="Arial" w:hAnsi="Arial" w:eastAsia="Arial Unicode MS" w:cs="Arial"/>
          <w:b/>
          <w:color w:val="243442"/>
          <w:sz w:val="22"/>
        </w:rPr>
        <w:t>测量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数据项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采集方式/周期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触发上传条件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温度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每 10 秒采集一次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变化值超过 COV 阈值；默认 1 ℃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湿度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每 10 秒采集一次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变化值超过 COV 阈值；默认 5%RH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PIR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事件触发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检测状态变化时触发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光照度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每 10 秒采集一次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周期性上报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CO₂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每 10 秒采集一次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变化值超过 COV 阈值；默认 100 ppm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TVOC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每 10 秒采集一次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变化值超过 COV 阈值；默认 50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PM2.5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零火版：每 180 秒采集一次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单火版：每 3 小时采集一次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周期性上报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通信测试</w:t>
      </w:r>
    </w:p>
    <w:p>
      <w:r>
        <w:rPr>
          <w:rFonts w:ascii="Arial" w:hAnsi="Arial" w:eastAsia="Arial Unicode MS" w:cs="Arial"/>
          <w:color w:val="243442"/>
          <w:sz w:val="22"/>
        </w:rPr>
        <w:t>通过开关开断一次，即可以实现一包数据触发上行。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入网</w:t>
      </w:r>
    </w:p>
    <w:p>
      <w:r>
        <w:rPr>
          <w:rFonts w:ascii="Arial" w:hAnsi="Arial" w:eastAsia="Arial Unicode MS" w:cs="Arial"/>
          <w:color w:val="243442"/>
          <w:sz w:val="22"/>
        </w:rPr>
        <w:t>长按开关3（最右侧开关）6秒以上，触发入网操作。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通信协议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r>
        <w:rPr>
          <w:rFonts w:ascii="Menlo" w:hAnsi="Menlo" w:eastAsia="Arial Unicode MS" w:cs="Menlo"/>
          <w:color w:val="18324A"/>
          <w:sz w:val="21"/>
        </w:rPr>
        <w:t>PTL-D01 门思科技物联网终端应用层通用协议 V1.5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数据项和标识符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LoRaWAN 端口号=11</w:t>
      </w:r>
    </w:p>
    <w:p>
      <w:r>
        <w:rPr>
          <w:rFonts w:ascii="Arial" w:hAnsi="Arial" w:eastAsia="Arial Unicode MS" w:cs="Arial"/>
          <w:color w:val="243442"/>
          <w:sz w:val="22"/>
        </w:rPr>
        <w:t>KS61 只支持1种数据格式，会按照设定的周期，周期性发送数据，当COV事件发生时会触发1帧上行数据。</w:t>
      </w:r>
    </w:p>
    <w:p>
      <w:r>
        <w:rPr>
          <w:rFonts w:ascii="Arial" w:hAnsi="Arial" w:eastAsia="Arial Unicode MS" w:cs="Arial"/>
          <w:color w:val="243442"/>
          <w:sz w:val="22"/>
        </w:rPr>
        <w:t>示例(hex)：82 24 07 00 ED00 4902 2402 0200 44000000 01 01 07 40 27502642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示例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版本号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0x82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控制字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0x24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0x24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标识符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固定为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0x07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状态标识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：正常；大于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：故障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温度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0x00ED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，小端模式，单位：0.1 ℃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湿度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0x0249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，小端模式，单位：0.1%RH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CO₂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0x0204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，小端模式，单位：ppm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光照度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0x0002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，小端模式，单位：lux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TVOC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0x00000004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int32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，小端模式，单位：μg/m³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保留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保留，不参与业务解析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PIR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0x01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uint8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；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 xml:space="preserve">：无人；大于 </w:t>
            </w:r>
            <w:r>
              <w:rPr>
                <w:rFonts w:ascii="Menlo" w:hAnsi="Menlo" w:eastAsia="Arial Unicode MS" w:cs="Menlo"/>
                <w:color w:val="18324A"/>
                <w:sz w:val="17"/>
              </w:rPr>
              <w:t>0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：有人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开关状态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0x07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bit0–bit2 的对应关系和取值见下表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PM2.5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0x42265027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 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小端模式，单位：μg/m³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开关状态位解析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3150"/>
        <w:gridCol w:w="2445"/>
        <w:gridCol w:w="2445"/>
      </w:tblGrid>
      <w:tr>
        <w:trPr>
          <w:cantSplit/>
          <w:tblHeader w:val="true"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位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对应开关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0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1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开关 1（最左侧）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开断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闭合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bit1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开关 2（中间）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开断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闭合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bit2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开关 3（最右侧）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开断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闭合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ThinkLink 解析规则</w:t>
      </w:r>
    </w:p>
    <w:p>
      <w:pPr>
        <w:pStyle w:val="CodeBlock"/>
      </w:pPr>
      <w:r>
        <w:rPr>
          <w:rFonts w:ascii="Menlo" w:hAnsi="Menlo" w:eastAsia="Arial Unicode MS" w:cs="Menlo"/>
          <w:color w:val="18324A"/>
          <w:sz w:val="18"/>
        </w:rPr>
        <w:t>let payload = Buffer.from(msg?.userdata?.payload, "base64");</w:t>
        <w:br/>
        <w:t xml:space="preserve">    let port=msg?.userdata?.port;</w:t>
        <w:br/>
        <w:t xml:space="preserve">    //let preTelemetry = device?.telemetry_data?.[thingModelId];</w:t>
        <w:br/>
        <w:t xml:space="preserve">    function parseSharedAttrs(payload) {</w:t>
        <w:br/>
        <w:t xml:space="preserve">        if (port!=214||payload[0]!=0x2F) { return null}</w:t>
        <w:br/>
        <w:t xml:space="preserve">        let shared_attrs ={}</w:t>
        <w:br/>
        <w:t xml:space="preserve">        shared_attrs.content = payload.toString('hex')</w:t>
        <w:br/>
        <w:t xml:space="preserve">        if (payload.length&lt;5) { return null}</w:t>
        <w:br/>
        <w:t xml:space="preserve">        let size=payload.length-4</w:t>
        <w:br/>
        <w:t xml:space="preserve">        let regAddress=payload[2]</w:t>
        <w:br/>
        <w:t xml:space="preserve">        for (let i=0; i&lt;size; i++) {</w:t>
        <w:br/>
        <w:t xml:space="preserve">            regAddress=payload[2]+i</w:t>
        <w:br/>
        <w:t xml:space="preserve">            switch (regAddress) {</w:t>
        <w:br/>
        <w:t xml:space="preserve">                case  58:</w:t>
        <w:br/>
        <w:t xml:space="preserve">                    if  ( size&lt;(2+i) ) { break }</w:t>
        <w:br/>
        <w:t xml:space="preserve">                    shared_attrs.period_data = payload.readUInt16LE(4+i)</w:t>
        <w:br/>
        <w:t xml:space="preserve">                    break;</w:t>
        <w:br/>
        <w:t xml:space="preserve">                case 152:</w:t>
        <w:br/>
        <w:t xml:space="preserve">                    if  ( size&lt;(1+i) ) { break }</w:t>
        <w:br/>
        <w:t xml:space="preserve">                    shared_attrs.enable = "0x"+payload.readUInt8(4+i).toString(16).padStart(2, '0')</w:t>
        <w:br/>
        <w:t xml:space="preserve">                    break;</w:t>
        <w:br/>
        <w:t xml:space="preserve">                case 153:</w:t>
        <w:br/>
        <w:t xml:space="preserve">                    if  ( size&lt;(1+i) ) { break }</w:t>
        <w:br/>
        <w:t xml:space="preserve">                    shared_attrs.cov_temperatrue = payload.readUInt8(4+i)*0.1</w:t>
        <w:br/>
        <w:t xml:space="preserve">                    break;</w:t>
        <w:br/>
        <w:t xml:space="preserve">                case 154:</w:t>
        <w:br/>
        <w:t xml:space="preserve">                    if  ( size&lt;(1+i) ) { break }</w:t>
        <w:br/>
        <w:t xml:space="preserve">                    shared_attrs.cov_humidity = payload.readUInt8(4+i)</w:t>
        <w:br/>
        <w:t xml:space="preserve">                    break;</w:t>
        <w:br/>
        <w:t xml:space="preserve">                case 155:</w:t>
        <w:br/>
        <w:t xml:space="preserve">                    if  ( size&lt;(1+i) ) { break }</w:t>
        <w:br/>
        <w:t xml:space="preserve">                    shared_attrs.cov_tvoc = payload.readUInt8(4+i)</w:t>
        <w:br/>
        <w:t xml:space="preserve">                    break;</w:t>
        <w:br/>
        <w:t xml:space="preserve">                case 156:</w:t>
        <w:br/>
        <w:t xml:space="preserve">                    if  ( size&lt;(1+i) ) { break }</w:t>
        <w:br/>
        <w:t xml:space="preserve">                    shared_attrs.cov_co2 = payload.readUInt8(4+i)</w:t>
        <w:br/>
        <w:t xml:space="preserve">                    break;</w:t>
        <w:br/>
        <w:t xml:space="preserve">                case 157:</w:t>
        <w:br/>
        <w:t xml:space="preserve">                    if  ( size&lt;(1+i) ) { break }</w:t>
        <w:br/>
        <w:t xml:space="preserve">                    shared_attrs.cov_pm25 = payload.readUInt8(4+i)</w:t>
        <w:br/>
        <w:t xml:space="preserve">                    break;</w:t>
        <w:br/>
        <w:t xml:space="preserve">                case 158:</w:t>
        <w:br/>
        <w:t xml:space="preserve">                    if  ( size&lt;(2+i) ) { break }</w:t>
        <w:br/>
        <w:t xml:space="preserve">                    shared_attrs.pir_delay = payload.readUInt16LE(4+i)</w:t>
        <w:br/>
        <w:t xml:space="preserve">                    break;</w:t>
        <w:br/>
        <w:t xml:space="preserve">                case 160:</w:t>
        <w:br/>
        <w:t xml:space="preserve">                    if  ( size&lt;(2+i) ) { break }</w:t>
        <w:br/>
        <w:t xml:space="preserve">                    shared_attrs.lux_threshold1 = payload.readUInt16LE(4+i)</w:t>
        <w:br/>
        <w:t xml:space="preserve">                    break;</w:t>
        <w:br/>
        <w:t xml:space="preserve">                case 162:</w:t>
        <w:br/>
        <w:t xml:space="preserve">                    if  ( size&lt;(2+i) ) { break }</w:t>
        <w:br/>
        <w:t xml:space="preserve">                    shared_attrs.lux_threshold2 = payload.readUInt16LE(4+i)</w:t>
        <w:br/>
        <w:t xml:space="preserve">                    break;</w:t>
        <w:br/>
        <w:t xml:space="preserve">                case 164:</w:t>
        <w:br/>
        <w:t xml:space="preserve">                    if  ( size&lt;(2+i) ) { break }</w:t>
        <w:br/>
        <w:t xml:space="preserve">                    shared_attrs.lux_threshold3 = payload.readUInt16LE(4+i)</w:t>
        <w:br/>
        <w:t xml:space="preserve">                    break;</w:t>
        <w:br/>
        <w:t xml:space="preserve">                case 166:</w:t>
        <w:br/>
        <w:t xml:space="preserve">                    if  ( size&lt;(1+i) ) { break }</w:t>
        <w:br/>
        <w:t xml:space="preserve">                    shared_attrs.pir_mask ="0x"+ payload.readUInt8(4+i).toString(16).padStart(2, '0')</w:t>
        <w:br/>
        <w:t xml:space="preserve">                    break;</w:t>
        <w:br/>
        <w:t xml:space="preserve">                default: break</w:t>
        <w:br/>
        <w:t xml:space="preserve">            }</w:t>
        <w:br/>
        <w:t xml:space="preserve">        }</w:t>
        <w:br/>
        <w:t xml:space="preserve">        if (Object.keys(shared_attrs).length == 0) {</w:t>
        <w:br/>
        <w:t xml:space="preserve">            return null</w:t>
        <w:br/>
        <w:t xml:space="preserve">        }</w:t>
        <w:br/>
        <w:t xml:space="preserve">        return shared_attrs;</w:t>
        <w:br/>
        <w:t xml:space="preserve">    }</w:t>
        <w:br/>
        <w:t xml:space="preserve">    function parseTelemetry(payload){</w:t>
        <w:br/>
        <w:t xml:space="preserve">        if (port!=11) { return null}</w:t>
        <w:br/>
        <w:t xml:space="preserve">        if (payload[0]!=0x82||payload[1]!=0x24||payload[2]!=0x07){  return null }</w:t>
        <w:br/>
        <w:t xml:space="preserve">        let telemetryData={}</w:t>
        <w:br/>
        <w:t xml:space="preserve">        if (payload.length &lt;24) {   return null }</w:t>
        <w:br/>
        <w:t xml:space="preserve">        if (payload[3]&gt;0) {</w:t>
        <w:br/>
        <w:t xml:space="preserve">            telemetryData.status="fault"</w:t>
        <w:br/>
        <w:t xml:space="preserve">            return telemetryData</w:t>
        <w:br/>
        <w:t xml:space="preserve">        }</w:t>
        <w:br/>
        <w:t xml:space="preserve">        telemetryData.temperatrue=Number((payload.readInt16LE(4)/10).toFixed(1))</w:t>
        <w:br/>
        <w:t xml:space="preserve">        telemetryData.humidity=Number((payload.readInt16LE(6)/10).toFixed(1))</w:t>
        <w:br/>
        <w:t xml:space="preserve">        telemetryData.co2=Number(payload.readInt16LE(8))</w:t>
        <w:br/>
        <w:t xml:space="preserve">        telemetryData.light=Number(payload.readInt16LE(10))</w:t>
        <w:br/>
        <w:t xml:space="preserve">        telemetryData.tvoc=Number(payload.readInt32LE(12))</w:t>
        <w:br/>
        <w:t xml:space="preserve">        let pirval=payload.readUInt8(17)</w:t>
        <w:br/>
        <w:t xml:space="preserve">        telemetryData.pir= (pirval&gt;0)?1:0</w:t>
        <w:br/>
        <w:t xml:space="preserve">        let relayval =payload.readUInt8(18)</w:t>
        <w:br/>
        <w:t xml:space="preserve">        telemetryData.relay1=((relayval&amp;0x01)===0x01)?1:0</w:t>
        <w:br/>
        <w:t xml:space="preserve">        telemetryData.relay2=((relayval&amp;0x02)===0x02)?1:0</w:t>
        <w:br/>
        <w:t xml:space="preserve">        telemetryData.relay3=((relayval&amp;0x04)===0x04)?1:0</w:t>
        <w:br/>
        <w:t xml:space="preserve">        telemetryData.pm25=Number((payload.readFloatLE(20)).toFixed(2))</w:t>
        <w:br/>
        <w:t xml:space="preserve">        return telemetryData</w:t>
        <w:br/>
        <w:t xml:space="preserve">    }</w:t>
        <w:br/>
        <w:t xml:space="preserve">    let appData= parseTelemetry(payload)</w:t>
        <w:br/>
        <w:t xml:space="preserve">    let sattrs=parseSharedAttrs(payload)</w:t>
        <w:br/>
        <w:t xml:space="preserve">    return {</w:t>
        <w:br/>
        <w:t xml:space="preserve">        telemetry_data: appData,</w:t>
        <w:br/>
        <w:t xml:space="preserve">        server_attrs: null,</w:t>
        <w:br/>
        <w:t xml:space="preserve">        shared_attrs: sattrs,</w:t>
        <w:br/>
        <w:t xml:space="preserve">    }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参数修改</w:t>
      </w:r>
    </w:p>
    <w:p>
      <w:r>
        <w:rPr>
          <w:rFonts w:ascii="Arial" w:hAnsi="Arial" w:eastAsia="Arial Unicode MS" w:cs="Arial"/>
          <w:color w:val="243442"/>
          <w:sz w:val="22"/>
        </w:rPr>
        <w:t>参数修改遵循《PTL-D01 门思科技物联网终端应用层通用协议 V1.5》。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配置参数地址表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20"/>
        <w:gridCol w:w="1500"/>
        <w:gridCol w:w="1170"/>
        <w:gridCol w:w="1050"/>
        <w:gridCol w:w="1050"/>
        <w:gridCol w:w="3870"/>
      </w:tblGrid>
      <w:tr>
        <w:trPr>
          <w:cantSplit/>
          <w:tblHeader w:val="true"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数据项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默认值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起始地址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长度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描述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复位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只写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写0x01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上传周期，单位秒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功能使能位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—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bit0–bit6 的对应关系和取值见下表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4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温度COV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153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倍率 0.1，单位℃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湿度COV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倍率 0.1，单位 RH%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6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TVOC 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50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155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7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CO2 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单位 ppm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8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pm2.5 COV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单位 ug/m³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9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PIR 延时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1800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158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uint16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，小端模式，单位：秒；用于 PIR 无人状态二次确认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光照度阈值 1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uint16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，小端模式，单位：lux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11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光照度阈值 2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162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uint16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，小端模式，单位：lux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12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光照度阈值 3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100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164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2字节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Menlo" w:hAnsi="Menlo" w:eastAsia="Arial Unicode MS" w:cs="Menlo"/>
                <w:color w:val="18324A"/>
                <w:sz w:val="17"/>
              </w:rPr>
              <w:t>uint16</w:t>
            </w:r>
            <w:r>
              <w:rPr>
                <w:rFonts w:ascii="Arial" w:hAnsi="Arial" w:eastAsia="Arial Unicode MS" w:cs="Arial"/>
                <w:color w:val="243442"/>
                <w:sz w:val="16"/>
              </w:rPr>
              <w:t>，小端模式，单位：lux</w:t>
            </w:r>
          </w:p>
        </w:tc>
      </w:tr>
      <w:tr>
        <w:trPr>
          <w:cantSplit/>
        </w:trPr>
        <w:tc>
          <w:tcPr>
            <w:tcW w:type="dxa" w:w="7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13</w:t>
            </w:r>
          </w:p>
        </w:tc>
        <w:tc>
          <w:tcPr>
            <w:tcW w:type="dxa" w:w="1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PIR控制掩码</w:t>
            </w:r>
          </w:p>
        </w:tc>
        <w:tc>
          <w:tcPr>
            <w:tcW w:type="dxa" w:w="11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0x07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166</w:t>
            </w:r>
          </w:p>
        </w:tc>
        <w:tc>
          <w:tcPr>
            <w:tcW w:type="dxa" w:w="10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1字节</w:t>
            </w:r>
          </w:p>
        </w:tc>
        <w:tc>
          <w:tcPr>
            <w:tcW w:type="dxa" w:w="387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PIR 有人开灯的控制掩码，bit0-bit3有效。当为1时，PIR检测到人，则开灯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功能使能位解析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3150"/>
        <w:gridCol w:w="2445"/>
        <w:gridCol w:w="2445"/>
      </w:tblGrid>
      <w:tr>
        <w:trPr>
          <w:cantSplit/>
          <w:tblHeader w:val="true"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位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功能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0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6"/>
              </w:rPr>
              <w:t>1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bit0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温度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禁用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启用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bit1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湿度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禁用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启用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bit2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TVOC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禁用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启用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bit3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光照度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禁用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启用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bit4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CO₂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禁用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启用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bit5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PM2.5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禁用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启用</w:t>
            </w:r>
          </w:p>
        </w:tc>
      </w:tr>
      <w:tr>
        <w:trPr>
          <w:cantSplit/>
        </w:trPr>
        <w:tc>
          <w:tcPr>
            <w:tcW w:type="dxa" w:w="13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bit6</w:t>
            </w:r>
          </w:p>
        </w:tc>
        <w:tc>
          <w:tcPr>
            <w:tcW w:type="dxa" w:w="31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光照控制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禁用</w:t>
            </w:r>
          </w:p>
        </w:tc>
        <w:tc>
          <w:tcPr>
            <w:tcW w:type="dxa" w:w="244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  <w:jc w:val="center"/>
            </w:pPr>
            <w:r/>
            <w:r>
              <w:rPr>
                <w:rFonts w:ascii="Arial" w:hAnsi="Arial" w:eastAsia="Arial Unicode MS" w:cs="Arial"/>
                <w:color w:val="243442"/>
                <w:sz w:val="16"/>
              </w:rPr>
              <w:t>启用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13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14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 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KS61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hyperlink" Target="https://www.manthink.cn" TargetMode="External"/><Relationship Id="rId14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KS61 LoRaWAN开关型86盒室内空气质量监测器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